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D1" w:rsidRDefault="00150505" w:rsidP="00150505">
      <w:pPr>
        <w:jc w:val="center"/>
        <w:rPr>
          <w:b/>
          <w:sz w:val="32"/>
          <w:u w:val="single"/>
        </w:rPr>
      </w:pPr>
      <w:bookmarkStart w:id="0" w:name="_GoBack"/>
      <w:bookmarkEnd w:id="0"/>
      <w:r w:rsidRPr="00150505">
        <w:rPr>
          <w:b/>
          <w:sz w:val="32"/>
          <w:u w:val="single"/>
        </w:rPr>
        <w:t xml:space="preserve">Researching </w:t>
      </w:r>
      <w:r>
        <w:rPr>
          <w:b/>
          <w:sz w:val="32"/>
          <w:u w:val="single"/>
        </w:rPr>
        <w:t xml:space="preserve">Political Change in </w:t>
      </w:r>
      <w:r w:rsidRPr="00150505">
        <w:rPr>
          <w:b/>
          <w:sz w:val="32"/>
          <w:u w:val="single"/>
        </w:rPr>
        <w:t>China 1911-1927</w:t>
      </w:r>
    </w:p>
    <w:p w:rsidR="00150505" w:rsidRDefault="00150505" w:rsidP="00150505">
      <w:pPr>
        <w:jc w:val="center"/>
        <w:rPr>
          <w:sz w:val="24"/>
        </w:rPr>
      </w:pPr>
      <w:r>
        <w:rPr>
          <w:sz w:val="24"/>
        </w:rPr>
        <w:t>Using the Lesson PowerPoints, readings and internet research, complete this table by making notes on the causes, key events, effects and significance of the following events and movements in China from 1911-27.</w:t>
      </w:r>
    </w:p>
    <w:tbl>
      <w:tblPr>
        <w:tblStyle w:val="TableGrid"/>
        <w:tblW w:w="0" w:type="auto"/>
        <w:tblLook w:val="04A0" w:firstRow="1" w:lastRow="0" w:firstColumn="1" w:lastColumn="0" w:noHBand="0" w:noVBand="1"/>
      </w:tblPr>
      <w:tblGrid>
        <w:gridCol w:w="1413"/>
        <w:gridCol w:w="2268"/>
        <w:gridCol w:w="2268"/>
        <w:gridCol w:w="2268"/>
        <w:gridCol w:w="2573"/>
      </w:tblGrid>
      <w:tr w:rsidR="00150505" w:rsidTr="00150505">
        <w:tc>
          <w:tcPr>
            <w:tcW w:w="1413" w:type="dxa"/>
          </w:tcPr>
          <w:p w:rsidR="00150505" w:rsidRDefault="00150505" w:rsidP="00150505">
            <w:pPr>
              <w:jc w:val="center"/>
              <w:rPr>
                <w:sz w:val="24"/>
              </w:rPr>
            </w:pPr>
          </w:p>
        </w:tc>
        <w:tc>
          <w:tcPr>
            <w:tcW w:w="2268" w:type="dxa"/>
          </w:tcPr>
          <w:p w:rsidR="00150505" w:rsidRPr="00150505" w:rsidRDefault="00150505" w:rsidP="00150505">
            <w:pPr>
              <w:jc w:val="center"/>
              <w:rPr>
                <w:b/>
                <w:sz w:val="24"/>
              </w:rPr>
            </w:pPr>
            <w:r w:rsidRPr="00150505">
              <w:rPr>
                <w:b/>
                <w:sz w:val="24"/>
              </w:rPr>
              <w:t>Causes</w:t>
            </w:r>
          </w:p>
        </w:tc>
        <w:tc>
          <w:tcPr>
            <w:tcW w:w="2268" w:type="dxa"/>
          </w:tcPr>
          <w:p w:rsidR="00150505" w:rsidRPr="00150505" w:rsidRDefault="00150505" w:rsidP="00150505">
            <w:pPr>
              <w:jc w:val="center"/>
              <w:rPr>
                <w:b/>
                <w:sz w:val="24"/>
              </w:rPr>
            </w:pPr>
            <w:r w:rsidRPr="00150505">
              <w:rPr>
                <w:b/>
                <w:sz w:val="24"/>
              </w:rPr>
              <w:t>Key Features</w:t>
            </w:r>
          </w:p>
        </w:tc>
        <w:tc>
          <w:tcPr>
            <w:tcW w:w="2268" w:type="dxa"/>
          </w:tcPr>
          <w:p w:rsidR="00150505" w:rsidRPr="00150505" w:rsidRDefault="00150505" w:rsidP="00150505">
            <w:pPr>
              <w:jc w:val="center"/>
              <w:rPr>
                <w:b/>
                <w:sz w:val="24"/>
              </w:rPr>
            </w:pPr>
            <w:r w:rsidRPr="00150505">
              <w:rPr>
                <w:b/>
                <w:sz w:val="24"/>
              </w:rPr>
              <w:t>Effects</w:t>
            </w:r>
          </w:p>
        </w:tc>
        <w:tc>
          <w:tcPr>
            <w:tcW w:w="2573" w:type="dxa"/>
          </w:tcPr>
          <w:p w:rsidR="00150505" w:rsidRPr="00150505" w:rsidRDefault="00150505" w:rsidP="00150505">
            <w:pPr>
              <w:jc w:val="center"/>
              <w:rPr>
                <w:b/>
                <w:sz w:val="24"/>
              </w:rPr>
            </w:pPr>
            <w:r w:rsidRPr="00150505">
              <w:rPr>
                <w:b/>
                <w:sz w:val="24"/>
              </w:rPr>
              <w:t>Significance</w:t>
            </w:r>
          </w:p>
        </w:tc>
      </w:tr>
      <w:tr w:rsidR="00150505" w:rsidTr="00150505">
        <w:tc>
          <w:tcPr>
            <w:tcW w:w="1413" w:type="dxa"/>
            <w:vAlign w:val="center"/>
          </w:tcPr>
          <w:p w:rsidR="00150505" w:rsidRPr="00150505" w:rsidRDefault="00150505" w:rsidP="00150505">
            <w:pPr>
              <w:jc w:val="center"/>
              <w:rPr>
                <w:b/>
                <w:sz w:val="24"/>
              </w:rPr>
            </w:pPr>
            <w:r>
              <w:rPr>
                <w:b/>
                <w:sz w:val="24"/>
              </w:rPr>
              <w:t>The 1911 Revolution</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150505">
            <w:pPr>
              <w:jc w:val="center"/>
              <w:rPr>
                <w:b/>
                <w:sz w:val="24"/>
              </w:rPr>
            </w:pPr>
            <w:r w:rsidRPr="00150505">
              <w:rPr>
                <w:b/>
                <w:sz w:val="24"/>
              </w:rPr>
              <w:t>China under Yuan Shikai 1912-16</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150505">
            <w:pPr>
              <w:jc w:val="center"/>
              <w:rPr>
                <w:b/>
                <w:sz w:val="24"/>
              </w:rPr>
            </w:pPr>
            <w:r w:rsidRPr="00150505">
              <w:rPr>
                <w:b/>
                <w:sz w:val="24"/>
              </w:rPr>
              <w:t>May 4</w:t>
            </w:r>
            <w:r w:rsidRPr="00150505">
              <w:rPr>
                <w:b/>
                <w:sz w:val="24"/>
                <w:vertAlign w:val="superscript"/>
              </w:rPr>
              <w:t>th</w:t>
            </w:r>
            <w:r w:rsidRPr="00150505">
              <w:rPr>
                <w:b/>
                <w:sz w:val="24"/>
              </w:rPr>
              <w:t xml:space="preserve"> Movement</w:t>
            </w:r>
            <w:r>
              <w:rPr>
                <w:b/>
                <w:sz w:val="24"/>
              </w:rPr>
              <w:t xml:space="preserve"> 1919</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rPr>
                <w:sz w:val="24"/>
              </w:rPr>
            </w:pPr>
          </w:p>
          <w:p w:rsidR="00150505" w:rsidRDefault="00150505" w:rsidP="00150505">
            <w:pPr>
              <w:jc w:val="center"/>
              <w:rPr>
                <w:sz w:val="24"/>
              </w:rPr>
            </w:pPr>
          </w:p>
          <w:p w:rsidR="00150505" w:rsidRDefault="00150505" w:rsidP="00150505">
            <w:pPr>
              <w:jc w:val="cente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150505">
            <w:pPr>
              <w:jc w:val="center"/>
              <w:rPr>
                <w:b/>
                <w:sz w:val="24"/>
              </w:rPr>
            </w:pPr>
            <w:r w:rsidRPr="00150505">
              <w:rPr>
                <w:b/>
                <w:sz w:val="24"/>
              </w:rPr>
              <w:t>The Warlord Period 1916-27</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rPr>
                <w:sz w:val="24"/>
              </w:rPr>
            </w:pPr>
          </w:p>
          <w:p w:rsidR="00150505" w:rsidRDefault="00150505" w:rsidP="00150505">
            <w:pPr>
              <w:jc w:val="center"/>
              <w:rPr>
                <w:sz w:val="24"/>
              </w:rPr>
            </w:pPr>
          </w:p>
          <w:p w:rsidR="00150505" w:rsidRDefault="00150505" w:rsidP="00150505">
            <w:pPr>
              <w:jc w:val="cente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F70E13">
            <w:pPr>
              <w:jc w:val="center"/>
              <w:rPr>
                <w:b/>
                <w:sz w:val="24"/>
              </w:rPr>
            </w:pPr>
            <w:r w:rsidRPr="00150505">
              <w:rPr>
                <w:b/>
                <w:sz w:val="24"/>
              </w:rPr>
              <w:t>The Emergence of the K</w:t>
            </w:r>
            <w:r w:rsidR="00F70E13">
              <w:rPr>
                <w:b/>
                <w:sz w:val="24"/>
              </w:rPr>
              <w:t>MT</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rPr>
                <w:sz w:val="24"/>
              </w:rPr>
            </w:pPr>
          </w:p>
          <w:p w:rsidR="00150505" w:rsidRDefault="00150505" w:rsidP="00150505">
            <w:pPr>
              <w:jc w:val="cente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150505">
            <w:pPr>
              <w:jc w:val="center"/>
              <w:rPr>
                <w:b/>
                <w:sz w:val="24"/>
              </w:rPr>
            </w:pPr>
            <w:r w:rsidRPr="00150505">
              <w:rPr>
                <w:b/>
                <w:sz w:val="24"/>
              </w:rPr>
              <w:t>The Emergence of the CCP</w:t>
            </w:r>
          </w:p>
        </w:tc>
        <w:tc>
          <w:tcPr>
            <w:tcW w:w="2268" w:type="dxa"/>
          </w:tcPr>
          <w:p w:rsidR="00150505" w:rsidRDefault="00150505" w:rsidP="00150505">
            <w:pP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150505">
            <w:pPr>
              <w:jc w:val="center"/>
              <w:rPr>
                <w:b/>
                <w:sz w:val="24"/>
              </w:rPr>
            </w:pPr>
            <w:r w:rsidRPr="00150505">
              <w:rPr>
                <w:b/>
                <w:sz w:val="24"/>
              </w:rPr>
              <w:t>The Northern March 1926-28</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rPr>
                <w:sz w:val="24"/>
              </w:rPr>
            </w:pPr>
          </w:p>
          <w:p w:rsidR="00150505" w:rsidRDefault="00150505" w:rsidP="00150505">
            <w:pP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r w:rsidR="00150505" w:rsidTr="00150505">
        <w:tc>
          <w:tcPr>
            <w:tcW w:w="1413" w:type="dxa"/>
            <w:vAlign w:val="center"/>
          </w:tcPr>
          <w:p w:rsidR="00150505" w:rsidRPr="00150505" w:rsidRDefault="00150505" w:rsidP="00150505">
            <w:pPr>
              <w:jc w:val="center"/>
              <w:rPr>
                <w:b/>
                <w:sz w:val="24"/>
              </w:rPr>
            </w:pPr>
            <w:r w:rsidRPr="00150505">
              <w:rPr>
                <w:b/>
                <w:sz w:val="24"/>
              </w:rPr>
              <w:t>The Shanghai Massacres 1927</w:t>
            </w:r>
          </w:p>
        </w:tc>
        <w:tc>
          <w:tcPr>
            <w:tcW w:w="2268" w:type="dxa"/>
          </w:tcPr>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jc w:val="center"/>
              <w:rPr>
                <w:sz w:val="24"/>
              </w:rPr>
            </w:pPr>
          </w:p>
          <w:p w:rsidR="00150505" w:rsidRDefault="00150505" w:rsidP="00150505">
            <w:pPr>
              <w:rPr>
                <w:sz w:val="24"/>
              </w:rPr>
            </w:pPr>
          </w:p>
          <w:p w:rsidR="00150505" w:rsidRDefault="00150505" w:rsidP="00150505">
            <w:pPr>
              <w:jc w:val="center"/>
              <w:rPr>
                <w:sz w:val="24"/>
              </w:rPr>
            </w:pPr>
          </w:p>
        </w:tc>
        <w:tc>
          <w:tcPr>
            <w:tcW w:w="2268" w:type="dxa"/>
          </w:tcPr>
          <w:p w:rsidR="00150505" w:rsidRDefault="00150505" w:rsidP="00150505">
            <w:pPr>
              <w:jc w:val="center"/>
              <w:rPr>
                <w:sz w:val="24"/>
              </w:rPr>
            </w:pPr>
          </w:p>
        </w:tc>
        <w:tc>
          <w:tcPr>
            <w:tcW w:w="2268" w:type="dxa"/>
          </w:tcPr>
          <w:p w:rsidR="00150505" w:rsidRDefault="00150505" w:rsidP="00150505">
            <w:pPr>
              <w:jc w:val="center"/>
              <w:rPr>
                <w:sz w:val="24"/>
              </w:rPr>
            </w:pPr>
          </w:p>
        </w:tc>
        <w:tc>
          <w:tcPr>
            <w:tcW w:w="2573" w:type="dxa"/>
          </w:tcPr>
          <w:p w:rsidR="00150505" w:rsidRDefault="00150505" w:rsidP="00150505">
            <w:pPr>
              <w:jc w:val="center"/>
              <w:rPr>
                <w:sz w:val="24"/>
              </w:rPr>
            </w:pPr>
          </w:p>
        </w:tc>
      </w:tr>
    </w:tbl>
    <w:p w:rsidR="00150505" w:rsidRPr="00150505" w:rsidRDefault="00150505" w:rsidP="00150505">
      <w:pPr>
        <w:rPr>
          <w:sz w:val="24"/>
        </w:rPr>
      </w:pPr>
    </w:p>
    <w:sectPr w:rsidR="00150505" w:rsidRPr="00150505" w:rsidSect="001505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05"/>
    <w:rsid w:val="00150505"/>
    <w:rsid w:val="001D73D0"/>
    <w:rsid w:val="002832C6"/>
    <w:rsid w:val="0087544A"/>
    <w:rsid w:val="00DD7526"/>
    <w:rsid w:val="00F7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566A-83A2-B64A-A062-3BFB070D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Yelena Smith</cp:lastModifiedBy>
  <cp:revision>2</cp:revision>
  <dcterms:created xsi:type="dcterms:W3CDTF">2018-11-14T23:16:00Z</dcterms:created>
  <dcterms:modified xsi:type="dcterms:W3CDTF">2018-11-14T23:16:00Z</dcterms:modified>
</cp:coreProperties>
</file>