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46" w:rsidRPr="00B85246" w:rsidRDefault="00B85246" w:rsidP="00B85246">
      <w:pPr>
        <w:shd w:val="clear" w:color="auto" w:fill="FFFFFF"/>
        <w:spacing w:before="150" w:line="510" w:lineRule="atLeast"/>
        <w:outlineLvl w:val="0"/>
        <w:rPr>
          <w:rFonts w:ascii="inherit" w:eastAsia="Times New Roman" w:hAnsi="inherit" w:cs="Times New Roman"/>
          <w:color w:val="333333"/>
          <w:kern w:val="36"/>
          <w:sz w:val="30"/>
          <w:szCs w:val="30"/>
        </w:rPr>
      </w:pPr>
      <w:r w:rsidRPr="00B85246">
        <w:rPr>
          <w:rFonts w:ascii="inherit" w:eastAsia="Times New Roman" w:hAnsi="inherit" w:cs="Times New Roman"/>
          <w:color w:val="333333"/>
          <w:kern w:val="36"/>
          <w:sz w:val="30"/>
          <w:szCs w:val="30"/>
        </w:rPr>
        <w:t xml:space="preserve">Simon v. The Queen, [1985] 2 SCR 387, 1985 </w:t>
      </w:r>
      <w:proofErr w:type="spellStart"/>
      <w:r w:rsidRPr="00B85246">
        <w:rPr>
          <w:rFonts w:ascii="inherit" w:eastAsia="Times New Roman" w:hAnsi="inherit" w:cs="Times New Roman"/>
          <w:color w:val="333333"/>
          <w:kern w:val="36"/>
          <w:sz w:val="30"/>
          <w:szCs w:val="30"/>
        </w:rPr>
        <w:t>CanLII</w:t>
      </w:r>
      <w:proofErr w:type="spellEnd"/>
      <w:r w:rsidRPr="00B85246">
        <w:rPr>
          <w:rFonts w:ascii="inherit" w:eastAsia="Times New Roman" w:hAnsi="inherit" w:cs="Times New Roman"/>
          <w:color w:val="333333"/>
          <w:kern w:val="36"/>
          <w:sz w:val="30"/>
          <w:szCs w:val="30"/>
        </w:rPr>
        <w:t xml:space="preserve"> 11 (SCC)</w:t>
      </w:r>
    </w:p>
    <w:tbl>
      <w:tblPr>
        <w:tblW w:w="0" w:type="auto"/>
        <w:tblCellMar>
          <w:top w:w="15" w:type="dxa"/>
          <w:left w:w="15" w:type="dxa"/>
          <w:bottom w:w="15" w:type="dxa"/>
          <w:right w:w="15" w:type="dxa"/>
        </w:tblCellMar>
        <w:tblLook w:val="04A0" w:firstRow="1" w:lastRow="0" w:firstColumn="1" w:lastColumn="0" w:noHBand="0" w:noVBand="1"/>
      </w:tblPr>
      <w:tblGrid>
        <w:gridCol w:w="1464"/>
        <w:gridCol w:w="7986"/>
      </w:tblGrid>
      <w:tr w:rsidR="00B85246" w:rsidRPr="00B85246" w:rsidTr="00B85246">
        <w:tc>
          <w:tcPr>
            <w:tcW w:w="0" w:type="auto"/>
            <w:shd w:val="clear" w:color="auto" w:fill="auto"/>
            <w:noWrap/>
            <w:tcMar>
              <w:top w:w="30" w:type="dxa"/>
              <w:left w:w="45" w:type="dxa"/>
              <w:bottom w:w="30" w:type="dxa"/>
              <w:right w:w="180" w:type="dxa"/>
            </w:tcMar>
            <w:hideMark/>
          </w:tcPr>
          <w:p w:rsidR="00B85246" w:rsidRPr="00B85246" w:rsidRDefault="00B85246" w:rsidP="00B85246">
            <w:pPr>
              <w:spacing w:after="240"/>
              <w:rPr>
                <w:rFonts w:ascii="Times" w:eastAsia="Times New Roman" w:hAnsi="Times" w:cs="Times New Roman"/>
                <w:color w:val="808080"/>
                <w:sz w:val="20"/>
                <w:szCs w:val="20"/>
              </w:rPr>
            </w:pPr>
            <w:r w:rsidRPr="00B85246">
              <w:rPr>
                <w:rFonts w:ascii="Times" w:eastAsia="Times New Roman" w:hAnsi="Times" w:cs="Times New Roman"/>
                <w:color w:val="808080"/>
                <w:sz w:val="20"/>
                <w:szCs w:val="20"/>
              </w:rPr>
              <w:t>Date:</w:t>
            </w:r>
          </w:p>
        </w:tc>
        <w:tc>
          <w:tcPr>
            <w:tcW w:w="0" w:type="auto"/>
            <w:shd w:val="clear" w:color="auto" w:fill="auto"/>
            <w:tcMar>
              <w:top w:w="30" w:type="dxa"/>
              <w:left w:w="45" w:type="dxa"/>
              <w:bottom w:w="30" w:type="dxa"/>
              <w:right w:w="45" w:type="dxa"/>
            </w:tcMar>
            <w:hideMark/>
          </w:tcPr>
          <w:p w:rsidR="00B85246" w:rsidRPr="00B85246" w:rsidRDefault="00B85246" w:rsidP="00B85246">
            <w:pPr>
              <w:spacing w:after="240"/>
              <w:rPr>
                <w:rFonts w:ascii="Times" w:eastAsia="Times New Roman" w:hAnsi="Times" w:cs="Times New Roman"/>
                <w:sz w:val="20"/>
                <w:szCs w:val="20"/>
              </w:rPr>
            </w:pPr>
            <w:r w:rsidRPr="00B85246">
              <w:rPr>
                <w:rFonts w:ascii="Times" w:eastAsia="Times New Roman" w:hAnsi="Times" w:cs="Times New Roman"/>
                <w:sz w:val="20"/>
                <w:szCs w:val="20"/>
              </w:rPr>
              <w:t>1985-11-21</w:t>
            </w:r>
          </w:p>
        </w:tc>
      </w:tr>
      <w:tr w:rsidR="00B85246" w:rsidRPr="00B85246" w:rsidTr="00B85246">
        <w:tc>
          <w:tcPr>
            <w:tcW w:w="0" w:type="auto"/>
            <w:shd w:val="clear" w:color="auto" w:fill="auto"/>
            <w:noWrap/>
            <w:tcMar>
              <w:top w:w="30" w:type="dxa"/>
              <w:left w:w="45" w:type="dxa"/>
              <w:bottom w:w="30" w:type="dxa"/>
              <w:right w:w="180" w:type="dxa"/>
            </w:tcMar>
            <w:hideMark/>
          </w:tcPr>
          <w:p w:rsidR="00B85246" w:rsidRPr="00B85246" w:rsidRDefault="00B85246" w:rsidP="00B85246">
            <w:pPr>
              <w:spacing w:after="240"/>
              <w:rPr>
                <w:rFonts w:ascii="Times" w:eastAsia="Times New Roman" w:hAnsi="Times" w:cs="Times New Roman"/>
                <w:color w:val="808080"/>
                <w:sz w:val="20"/>
                <w:szCs w:val="20"/>
              </w:rPr>
            </w:pPr>
            <w:r w:rsidRPr="00B85246">
              <w:rPr>
                <w:rFonts w:ascii="Times" w:eastAsia="Times New Roman" w:hAnsi="Times" w:cs="Times New Roman"/>
                <w:color w:val="808080"/>
                <w:sz w:val="20"/>
                <w:szCs w:val="20"/>
              </w:rPr>
              <w:t>Docket:</w:t>
            </w:r>
          </w:p>
        </w:tc>
        <w:tc>
          <w:tcPr>
            <w:tcW w:w="0" w:type="auto"/>
            <w:shd w:val="clear" w:color="auto" w:fill="auto"/>
            <w:tcMar>
              <w:top w:w="30" w:type="dxa"/>
              <w:left w:w="45" w:type="dxa"/>
              <w:bottom w:w="30" w:type="dxa"/>
              <w:right w:w="45" w:type="dxa"/>
            </w:tcMar>
            <w:hideMark/>
          </w:tcPr>
          <w:p w:rsidR="00B85246" w:rsidRPr="00B85246" w:rsidRDefault="00B85246" w:rsidP="00B85246">
            <w:pPr>
              <w:spacing w:after="240"/>
              <w:rPr>
                <w:rFonts w:ascii="Times" w:eastAsia="Times New Roman" w:hAnsi="Times" w:cs="Times New Roman"/>
                <w:sz w:val="20"/>
                <w:szCs w:val="20"/>
              </w:rPr>
            </w:pPr>
            <w:r w:rsidRPr="00B85246">
              <w:rPr>
                <w:rFonts w:ascii="Times" w:eastAsia="Times New Roman" w:hAnsi="Times" w:cs="Times New Roman"/>
                <w:sz w:val="20"/>
                <w:szCs w:val="20"/>
              </w:rPr>
              <w:t>17006</w:t>
            </w:r>
          </w:p>
        </w:tc>
      </w:tr>
      <w:tr w:rsidR="00B85246" w:rsidRPr="00B85246" w:rsidTr="00B85246">
        <w:tc>
          <w:tcPr>
            <w:tcW w:w="0" w:type="auto"/>
            <w:shd w:val="clear" w:color="auto" w:fill="auto"/>
            <w:noWrap/>
            <w:tcMar>
              <w:top w:w="30" w:type="dxa"/>
              <w:left w:w="45" w:type="dxa"/>
              <w:bottom w:w="30" w:type="dxa"/>
              <w:right w:w="180" w:type="dxa"/>
            </w:tcMar>
            <w:hideMark/>
          </w:tcPr>
          <w:p w:rsidR="00B85246" w:rsidRPr="00B85246" w:rsidRDefault="00B85246" w:rsidP="00B85246">
            <w:pPr>
              <w:spacing w:after="240"/>
              <w:rPr>
                <w:rFonts w:ascii="Times" w:eastAsia="Times New Roman" w:hAnsi="Times" w:cs="Times New Roman"/>
                <w:color w:val="808080"/>
                <w:sz w:val="20"/>
                <w:szCs w:val="20"/>
              </w:rPr>
            </w:pPr>
            <w:r w:rsidRPr="00B85246">
              <w:rPr>
                <w:rFonts w:ascii="Times" w:eastAsia="Times New Roman" w:hAnsi="Times" w:cs="Times New Roman"/>
                <w:color w:val="808080"/>
                <w:sz w:val="20"/>
                <w:szCs w:val="20"/>
              </w:rPr>
              <w:t>Other citations:</w:t>
            </w:r>
          </w:p>
        </w:tc>
        <w:tc>
          <w:tcPr>
            <w:tcW w:w="0" w:type="auto"/>
            <w:shd w:val="clear" w:color="auto" w:fill="auto"/>
            <w:tcMar>
              <w:top w:w="30" w:type="dxa"/>
              <w:left w:w="45" w:type="dxa"/>
              <w:bottom w:w="30" w:type="dxa"/>
              <w:right w:w="45" w:type="dxa"/>
            </w:tcMar>
            <w:hideMark/>
          </w:tcPr>
          <w:p w:rsidR="00B85246" w:rsidRPr="00B85246" w:rsidRDefault="00B85246" w:rsidP="00B85246">
            <w:pPr>
              <w:spacing w:after="240"/>
              <w:rPr>
                <w:rFonts w:ascii="Times" w:eastAsia="Times New Roman" w:hAnsi="Times" w:cs="Times New Roman"/>
                <w:sz w:val="20"/>
                <w:szCs w:val="20"/>
              </w:rPr>
            </w:pPr>
            <w:r w:rsidRPr="00B85246">
              <w:rPr>
                <w:rFonts w:ascii="Times" w:eastAsia="Times New Roman" w:hAnsi="Times" w:cs="Times New Roman"/>
                <w:sz w:val="20"/>
                <w:szCs w:val="20"/>
              </w:rPr>
              <w:t>24 DLR (4th) 390; 23 CCC (3d) 238; 62 NR 366; [1985] SCJ No 67 (QL); 171 APR 15; [1985] ACS no 67; [1986] 1 CNLR 153; 71 NSR (2d) 15</w:t>
            </w:r>
          </w:p>
        </w:tc>
      </w:tr>
      <w:tr w:rsidR="00B85246" w:rsidRPr="00B85246" w:rsidTr="00B85246">
        <w:tc>
          <w:tcPr>
            <w:tcW w:w="0" w:type="auto"/>
            <w:shd w:val="clear" w:color="auto" w:fill="auto"/>
            <w:noWrap/>
            <w:tcMar>
              <w:top w:w="30" w:type="dxa"/>
              <w:left w:w="45" w:type="dxa"/>
              <w:bottom w:w="30" w:type="dxa"/>
              <w:right w:w="180" w:type="dxa"/>
            </w:tcMar>
            <w:hideMark/>
          </w:tcPr>
          <w:p w:rsidR="00B85246" w:rsidRPr="00B85246" w:rsidRDefault="00B85246" w:rsidP="00B85246">
            <w:pPr>
              <w:spacing w:after="240"/>
              <w:rPr>
                <w:rFonts w:ascii="Times" w:eastAsia="Times New Roman" w:hAnsi="Times" w:cs="Times New Roman"/>
                <w:color w:val="808080"/>
                <w:sz w:val="20"/>
                <w:szCs w:val="20"/>
              </w:rPr>
            </w:pPr>
            <w:r w:rsidRPr="00B85246">
              <w:rPr>
                <w:rFonts w:ascii="Times" w:eastAsia="Times New Roman" w:hAnsi="Times" w:cs="Times New Roman"/>
                <w:color w:val="808080"/>
                <w:sz w:val="20"/>
                <w:szCs w:val="20"/>
              </w:rPr>
              <w:t>Citation:</w:t>
            </w:r>
          </w:p>
        </w:tc>
        <w:tc>
          <w:tcPr>
            <w:tcW w:w="0" w:type="auto"/>
            <w:shd w:val="clear" w:color="auto" w:fill="auto"/>
            <w:tcMar>
              <w:top w:w="30" w:type="dxa"/>
              <w:left w:w="45" w:type="dxa"/>
              <w:bottom w:w="30" w:type="dxa"/>
              <w:right w:w="45" w:type="dxa"/>
            </w:tcMar>
            <w:hideMark/>
          </w:tcPr>
          <w:p w:rsidR="00B85246" w:rsidRPr="00B85246" w:rsidRDefault="00B85246" w:rsidP="00B85246">
            <w:pPr>
              <w:spacing w:after="240"/>
              <w:rPr>
                <w:rFonts w:ascii="Times" w:eastAsia="Times New Roman" w:hAnsi="Times" w:cs="Times New Roman"/>
                <w:sz w:val="20"/>
                <w:szCs w:val="20"/>
              </w:rPr>
            </w:pPr>
            <w:r w:rsidRPr="00B85246">
              <w:rPr>
                <w:rFonts w:ascii="Times" w:eastAsia="Times New Roman" w:hAnsi="Times" w:cs="Times New Roman"/>
                <w:sz w:val="20"/>
                <w:szCs w:val="20"/>
              </w:rPr>
              <w:t xml:space="preserve">Simon v. The Queen, [1985] 2 SCR 387, 1985 </w:t>
            </w:r>
            <w:proofErr w:type="spellStart"/>
            <w:r w:rsidRPr="00B85246">
              <w:rPr>
                <w:rFonts w:ascii="Times" w:eastAsia="Times New Roman" w:hAnsi="Times" w:cs="Times New Roman"/>
                <w:sz w:val="20"/>
                <w:szCs w:val="20"/>
              </w:rPr>
              <w:t>CanLII</w:t>
            </w:r>
            <w:proofErr w:type="spellEnd"/>
            <w:r w:rsidRPr="00B85246">
              <w:rPr>
                <w:rFonts w:ascii="Times" w:eastAsia="Times New Roman" w:hAnsi="Times" w:cs="Times New Roman"/>
                <w:sz w:val="20"/>
                <w:szCs w:val="20"/>
              </w:rPr>
              <w:t xml:space="preserve"> 11 (SCC), &lt;http://canlii.ca/t/1fv04&gt;, retrieved on 2018-01-03</w:t>
            </w:r>
          </w:p>
        </w:tc>
      </w:tr>
    </w:tbl>
    <w:p w:rsidR="00B85246" w:rsidRPr="00B85246" w:rsidRDefault="00B85246" w:rsidP="00B85246">
      <w:pPr>
        <w:shd w:val="clear" w:color="auto" w:fill="E5E6E7"/>
        <w:spacing w:line="228" w:lineRule="atLeast"/>
        <w:rPr>
          <w:rFonts w:ascii="Verdana" w:eastAsia="Times New Roman" w:hAnsi="Verdana" w:cs="Times New Roman"/>
          <w:color w:val="333333"/>
        </w:rPr>
      </w:pPr>
      <w:r w:rsidRPr="00B85246">
        <w:rPr>
          <w:rFonts w:ascii="Verdana" w:eastAsia="Times New Roman" w:hAnsi="Verdana" w:cs="Times New Roman"/>
          <w:color w:val="333333"/>
        </w:rPr>
        <w:t>Save this case</w:t>
      </w:r>
    </w:p>
    <w:p w:rsidR="00B85246" w:rsidRPr="00B85246" w:rsidRDefault="00B85246" w:rsidP="00B85246">
      <w:pPr>
        <w:shd w:val="clear" w:color="auto" w:fill="E5E6E7"/>
        <w:spacing w:line="228" w:lineRule="atLeast"/>
        <w:rPr>
          <w:rFonts w:ascii="Verdana" w:eastAsia="Times New Roman" w:hAnsi="Verdana" w:cs="Times New Roman"/>
          <w:color w:val="333333"/>
        </w:rPr>
      </w:pPr>
      <w:r w:rsidRPr="00B85246">
        <w:rPr>
          <w:rFonts w:ascii="Verdana" w:eastAsia="Times New Roman" w:hAnsi="Verdana" w:cs="Times New Roman"/>
          <w:color w:val="333333"/>
        </w:rPr>
        <w:t>Set up citation alert</w:t>
      </w:r>
    </w:p>
    <w:p w:rsidR="00B85246" w:rsidRPr="00B85246" w:rsidRDefault="00B85246" w:rsidP="00B85246">
      <w:pPr>
        <w:shd w:val="clear" w:color="auto" w:fill="E5E6E7"/>
        <w:spacing w:line="228" w:lineRule="atLeast"/>
        <w:rPr>
          <w:rFonts w:ascii="Verdana" w:eastAsia="Times New Roman" w:hAnsi="Verdana" w:cs="Times New Roman"/>
          <w:color w:val="333333"/>
        </w:rPr>
      </w:pPr>
      <w:r w:rsidRPr="00B85246">
        <w:rPr>
          <w:rFonts w:ascii="Verdana" w:eastAsia="Times New Roman" w:hAnsi="Verdana" w:cs="Times New Roman"/>
          <w:color w:val="333333"/>
        </w:rPr>
        <w:t>Email this case</w:t>
      </w:r>
    </w:p>
    <w:p w:rsidR="00B85246" w:rsidRPr="00B85246" w:rsidRDefault="00B85246" w:rsidP="00B85246">
      <w:pPr>
        <w:shd w:val="clear" w:color="auto" w:fill="3A94B9"/>
        <w:spacing w:line="228" w:lineRule="atLeast"/>
        <w:rPr>
          <w:rFonts w:ascii="Verdana" w:eastAsia="Times New Roman" w:hAnsi="Verdana" w:cs="Times New Roman"/>
          <w:color w:val="FFFFFF"/>
        </w:rPr>
      </w:pPr>
      <w:proofErr w:type="gramStart"/>
      <w:r w:rsidRPr="00B85246">
        <w:rPr>
          <w:rFonts w:ascii="Verdana" w:eastAsia="Times New Roman" w:hAnsi="Verdana" w:cs="Times New Roman"/>
          <w:color w:val="FFFFFF"/>
        </w:rPr>
        <w:t>Browse</w:t>
      </w:r>
      <w:proofErr w:type="gramEnd"/>
      <w:r w:rsidRPr="00B85246">
        <w:rPr>
          <w:rFonts w:ascii="Verdana" w:eastAsia="Times New Roman" w:hAnsi="Verdana" w:cs="Times New Roman"/>
          <w:color w:val="FFFFFF"/>
        </w:rPr>
        <w:t xml:space="preserve"> </w:t>
      </w:r>
      <w:proofErr w:type="spellStart"/>
      <w:r w:rsidRPr="00B85246">
        <w:rPr>
          <w:rFonts w:ascii="Verdana" w:eastAsia="Times New Roman" w:hAnsi="Verdana" w:cs="Times New Roman"/>
          <w:color w:val="FFFFFF"/>
        </w:rPr>
        <w:t>Lexbox</w:t>
      </w:r>
      <w:proofErr w:type="spellEnd"/>
    </w:p>
    <w:p w:rsidR="00B85246" w:rsidRPr="00B85246" w:rsidRDefault="00B85246" w:rsidP="00B85246">
      <w:pPr>
        <w:numPr>
          <w:ilvl w:val="0"/>
          <w:numId w:val="1"/>
        </w:numPr>
        <w:shd w:val="clear" w:color="auto" w:fill="FFFFFF"/>
        <w:spacing w:before="45" w:line="300" w:lineRule="atLeast"/>
        <w:ind w:left="0"/>
        <w:textAlignment w:val="center"/>
        <w:rPr>
          <w:rFonts w:ascii="Verdana" w:eastAsia="Times New Roman" w:hAnsi="Verdana" w:cs="Times New Roman"/>
          <w:color w:val="333333"/>
          <w:sz w:val="18"/>
          <w:szCs w:val="18"/>
        </w:rPr>
      </w:pPr>
      <w:r w:rsidRPr="00B85246">
        <w:rPr>
          <w:rFonts w:ascii="Verdana" w:eastAsia="Times New Roman" w:hAnsi="Verdana" w:cs="Times New Roman"/>
          <w:color w:val="333333"/>
          <w:sz w:val="18"/>
          <w:szCs w:val="18"/>
        </w:rPr>
        <w:t>Cited by </w:t>
      </w:r>
      <w:hyperlink r:id="rId6" w:anchor="search/origin1=/en/ca/scc/doc/1985/1985canlii11/1985canlii11.html&amp;nquery1=1985 CanLII 11 (SCC)&amp;linkedNoteup=" w:history="1">
        <w:r w:rsidRPr="00B85246">
          <w:rPr>
            <w:rFonts w:ascii="Verdana" w:eastAsia="Times New Roman" w:hAnsi="Verdana" w:cs="Times New Roman"/>
            <w:color w:val="027ABB"/>
            <w:sz w:val="18"/>
            <w:szCs w:val="18"/>
          </w:rPr>
          <w:t>146 documents</w:t>
        </w:r>
      </w:hyperlink>
    </w:p>
    <w:p w:rsidR="00B85246" w:rsidRPr="00B85246" w:rsidRDefault="00B85246" w:rsidP="00B85246">
      <w:pPr>
        <w:shd w:val="clear" w:color="auto" w:fill="FFFFFF"/>
        <w:spacing w:line="300" w:lineRule="atLeast"/>
        <w:rPr>
          <w:rFonts w:ascii="Verdana" w:eastAsia="Times New Roman" w:hAnsi="Verdana" w:cs="Times New Roman"/>
          <w:color w:val="333333"/>
          <w:sz w:val="18"/>
          <w:szCs w:val="18"/>
        </w:rPr>
      </w:pPr>
      <w:r w:rsidRPr="00B85246">
        <w:rPr>
          <w:rFonts w:ascii="Verdana" w:eastAsia="Times New Roman" w:hAnsi="Verdana" w:cs="Times New Roman"/>
          <w:color w:val="333333"/>
          <w:sz w:val="18"/>
          <w:szCs w:val="18"/>
        </w:rPr>
        <w:t> </w:t>
      </w:r>
    </w:p>
    <w:p w:rsidR="00B85246" w:rsidRPr="00B85246" w:rsidRDefault="00B85246" w:rsidP="00B85246">
      <w:pPr>
        <w:numPr>
          <w:ilvl w:val="0"/>
          <w:numId w:val="1"/>
        </w:numPr>
        <w:shd w:val="clear" w:color="auto" w:fill="FFFFFF"/>
        <w:spacing w:line="300" w:lineRule="atLeast"/>
        <w:ind w:left="0"/>
        <w:rPr>
          <w:rFonts w:ascii="Verdana" w:eastAsia="Times New Roman" w:hAnsi="Verdana" w:cs="Times New Roman"/>
          <w:color w:val="333333"/>
          <w:sz w:val="18"/>
          <w:szCs w:val="18"/>
        </w:rPr>
      </w:pPr>
      <w:r w:rsidRPr="00B85246">
        <w:rPr>
          <w:rFonts w:ascii="Verdana" w:eastAsia="Times New Roman" w:hAnsi="Verdana" w:cs="Times New Roman"/>
          <w:color w:val="333333"/>
          <w:sz w:val="18"/>
          <w:szCs w:val="18"/>
        </w:rPr>
        <w:t>Headnotes  </w:t>
      </w:r>
    </w:p>
    <w:p w:rsidR="00B85246" w:rsidRPr="00B85246" w:rsidRDefault="00B85246" w:rsidP="00B85246">
      <w:pPr>
        <w:shd w:val="clear" w:color="auto" w:fill="FFFFFF"/>
        <w:spacing w:line="300" w:lineRule="atLeast"/>
        <w:rPr>
          <w:rFonts w:ascii="Verdana" w:eastAsia="Times New Roman" w:hAnsi="Verdana" w:cs="Times New Roman"/>
          <w:color w:val="333333"/>
          <w:sz w:val="18"/>
          <w:szCs w:val="18"/>
        </w:rPr>
      </w:pPr>
      <w:r w:rsidRPr="00B85246">
        <w:rPr>
          <w:rFonts w:ascii="Verdana" w:eastAsia="Times New Roman" w:hAnsi="Verdana" w:cs="Times New Roman"/>
          <w:color w:val="333333"/>
          <w:sz w:val="18"/>
          <w:szCs w:val="18"/>
        </w:rPr>
        <w:t> </w:t>
      </w:r>
    </w:p>
    <w:p w:rsidR="00B85246" w:rsidRPr="00B85246" w:rsidRDefault="00B85246" w:rsidP="00B85246">
      <w:pPr>
        <w:numPr>
          <w:ilvl w:val="0"/>
          <w:numId w:val="1"/>
        </w:numPr>
        <w:shd w:val="clear" w:color="auto" w:fill="FFFFFF"/>
        <w:spacing w:line="300" w:lineRule="atLeast"/>
        <w:ind w:left="0"/>
        <w:rPr>
          <w:rFonts w:ascii="Verdana" w:eastAsia="Times New Roman" w:hAnsi="Verdana" w:cs="Times New Roman"/>
          <w:color w:val="333333"/>
          <w:sz w:val="18"/>
          <w:szCs w:val="18"/>
        </w:rPr>
      </w:pPr>
      <w:hyperlink r:id="rId7" w:history="1">
        <w:r w:rsidRPr="00B85246">
          <w:rPr>
            <w:rFonts w:ascii="Verdana" w:eastAsia="Times New Roman" w:hAnsi="Verdana" w:cs="Times New Roman"/>
            <w:color w:val="027ABB"/>
            <w:sz w:val="18"/>
            <w:szCs w:val="18"/>
          </w:rPr>
          <w:t> PDF</w:t>
        </w:r>
      </w:hyperlink>
    </w:p>
    <w:p w:rsidR="00B85246" w:rsidRPr="00B85246" w:rsidRDefault="00B85246" w:rsidP="00B85246">
      <w:pPr>
        <w:numPr>
          <w:ilvl w:val="0"/>
          <w:numId w:val="1"/>
        </w:numPr>
        <w:shd w:val="clear" w:color="auto" w:fill="FFFFFF"/>
        <w:spacing w:line="300" w:lineRule="atLeast"/>
        <w:ind w:left="0"/>
        <w:rPr>
          <w:rFonts w:ascii="Verdana" w:eastAsia="Times New Roman" w:hAnsi="Verdana" w:cs="Times New Roman"/>
          <w:color w:val="333333"/>
          <w:sz w:val="18"/>
          <w:szCs w:val="18"/>
        </w:rPr>
      </w:pPr>
      <w:r w:rsidRPr="00B85246">
        <w:rPr>
          <w:rFonts w:ascii="Verdana" w:eastAsia="Times New Roman" w:hAnsi="Verdana" w:cs="Times New Roman"/>
          <w:color w:val="333333"/>
          <w:sz w:val="18"/>
          <w:szCs w:val="18"/>
        </w:rPr>
        <w:t> Email</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Simon </w:t>
      </w:r>
      <w:r w:rsidRPr="00B85246">
        <w:rPr>
          <w:rFonts w:ascii="Times New Roman" w:hAnsi="Times New Roman" w:cs="Times New Roman"/>
          <w:i/>
          <w:iCs/>
          <w:color w:val="000000"/>
          <w:spacing w:val="-3"/>
        </w:rPr>
        <w:t>v.</w:t>
      </w:r>
      <w:r w:rsidRPr="00B85246">
        <w:rPr>
          <w:rFonts w:ascii="Times New Roman" w:hAnsi="Times New Roman" w:cs="Times New Roman"/>
          <w:color w:val="000000"/>
          <w:spacing w:val="-3"/>
        </w:rPr>
        <w:t> The Queen, [1985] 2 S.C.R. 387</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b/>
          <w:bCs/>
          <w:color w:val="000000"/>
          <w:spacing w:val="-3"/>
        </w:rPr>
        <w:t>James Matthew Simon</w:t>
      </w:r>
      <w:r w:rsidRPr="00B85246">
        <w:rPr>
          <w:rFonts w:ascii="Times New Roman" w:hAnsi="Times New Roman" w:cs="Times New Roman"/>
          <w:color w:val="000000"/>
          <w:spacing w:val="-3"/>
        </w:rPr>
        <w:t>     </w:t>
      </w:r>
      <w:r w:rsidRPr="00B85246">
        <w:rPr>
          <w:rFonts w:ascii="Times New Roman" w:hAnsi="Times New Roman" w:cs="Times New Roman"/>
          <w:i/>
          <w:iCs/>
          <w:color w:val="000000"/>
          <w:spacing w:val="-3"/>
        </w:rPr>
        <w:t>Appellant</w:t>
      </w:r>
      <w:r w:rsidRPr="00B85246">
        <w:rPr>
          <w:rFonts w:ascii="Times New Roman" w:hAnsi="Times New Roman" w:cs="Times New Roman"/>
          <w:color w:val="000000"/>
          <w:spacing w:val="-3"/>
        </w:rPr>
        <w:t>;</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proofErr w:type="gramStart"/>
      <w:r w:rsidRPr="00B85246">
        <w:rPr>
          <w:rFonts w:ascii="Times New Roman" w:hAnsi="Times New Roman" w:cs="Times New Roman"/>
          <w:color w:val="000000"/>
          <w:spacing w:val="-3"/>
        </w:rPr>
        <w:t>and</w:t>
      </w:r>
      <w:proofErr w:type="gramEnd"/>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b/>
          <w:bCs/>
          <w:color w:val="000000"/>
          <w:spacing w:val="-3"/>
        </w:rPr>
        <w:t>Her Majesty The Queen</w:t>
      </w:r>
      <w:r w:rsidRPr="00B85246">
        <w:rPr>
          <w:rFonts w:ascii="Times New Roman" w:hAnsi="Times New Roman" w:cs="Times New Roman"/>
          <w:color w:val="000000"/>
          <w:spacing w:val="-3"/>
        </w:rPr>
        <w:t>     </w:t>
      </w:r>
      <w:r w:rsidRPr="00B85246">
        <w:rPr>
          <w:rFonts w:ascii="Times New Roman" w:hAnsi="Times New Roman" w:cs="Times New Roman"/>
          <w:i/>
          <w:iCs/>
          <w:color w:val="000000"/>
          <w:spacing w:val="-3"/>
        </w:rPr>
        <w:t>Respondent</w:t>
      </w:r>
      <w:r w:rsidRPr="00B85246">
        <w:rPr>
          <w:rFonts w:ascii="Times New Roman" w:hAnsi="Times New Roman" w:cs="Times New Roman"/>
          <w:color w:val="000000"/>
          <w:spacing w:val="-3"/>
        </w:rPr>
        <w:t>;</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proofErr w:type="gramStart"/>
      <w:r w:rsidRPr="00B85246">
        <w:rPr>
          <w:rFonts w:ascii="Times New Roman" w:hAnsi="Times New Roman" w:cs="Times New Roman"/>
          <w:color w:val="000000"/>
          <w:spacing w:val="-3"/>
        </w:rPr>
        <w:t>and</w:t>
      </w:r>
      <w:proofErr w:type="gramEnd"/>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b/>
          <w:bCs/>
          <w:color w:val="000000"/>
          <w:spacing w:val="-3"/>
        </w:rPr>
        <w:t>The Union of New Brunswick Indians, Inc., the Native Council of Nova Scotia, Attorney General of Canada, Attorney General for Ontario and Attorney General for New Brunswick</w:t>
      </w:r>
      <w:r w:rsidRPr="00B85246">
        <w:rPr>
          <w:rFonts w:ascii="Times New Roman" w:hAnsi="Times New Roman" w:cs="Times New Roman"/>
          <w:color w:val="000000"/>
          <w:spacing w:val="-3"/>
        </w:rPr>
        <w:t>    </w:t>
      </w:r>
      <w:r w:rsidRPr="00B85246">
        <w:rPr>
          <w:rFonts w:ascii="Times New Roman" w:hAnsi="Times New Roman" w:cs="Times New Roman"/>
          <w:i/>
          <w:iCs/>
          <w:color w:val="000000"/>
          <w:spacing w:val="-3"/>
        </w:rPr>
        <w:t>Interveners</w:t>
      </w:r>
      <w:r w:rsidRPr="00B85246">
        <w:rPr>
          <w:rFonts w:ascii="Times New Roman" w:hAnsi="Times New Roman" w:cs="Times New Roman"/>
          <w:color w:val="000000"/>
          <w:spacing w:val="-3"/>
        </w:rPr>
        <w:t>.</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File No.: 17006.</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1984: October 23; 1985: November 21.</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xml:space="preserve">Present: Dickson C.J. and </w:t>
      </w:r>
      <w:proofErr w:type="spellStart"/>
      <w:r w:rsidRPr="00B85246">
        <w:rPr>
          <w:rFonts w:ascii="Times New Roman" w:hAnsi="Times New Roman" w:cs="Times New Roman"/>
          <w:color w:val="000000"/>
          <w:spacing w:val="-3"/>
        </w:rPr>
        <w:t>Beetz</w:t>
      </w:r>
      <w:proofErr w:type="spellEnd"/>
      <w:r w:rsidRPr="00B85246">
        <w:rPr>
          <w:rFonts w:ascii="Times New Roman" w:hAnsi="Times New Roman" w:cs="Times New Roman"/>
          <w:color w:val="000000"/>
          <w:spacing w:val="-3"/>
        </w:rPr>
        <w:t xml:space="preserve">, </w:t>
      </w:r>
      <w:proofErr w:type="spellStart"/>
      <w:r w:rsidRPr="00B85246">
        <w:rPr>
          <w:rFonts w:ascii="Times New Roman" w:hAnsi="Times New Roman" w:cs="Times New Roman"/>
          <w:color w:val="000000"/>
          <w:spacing w:val="-3"/>
        </w:rPr>
        <w:t>Estey</w:t>
      </w:r>
      <w:proofErr w:type="spellEnd"/>
      <w:r w:rsidRPr="00B85246">
        <w:rPr>
          <w:rFonts w:ascii="Times New Roman" w:hAnsi="Times New Roman" w:cs="Times New Roman"/>
          <w:color w:val="000000"/>
          <w:spacing w:val="-3"/>
        </w:rPr>
        <w:t xml:space="preserve">, McIntyre, </w:t>
      </w:r>
      <w:proofErr w:type="spellStart"/>
      <w:r w:rsidRPr="00B85246">
        <w:rPr>
          <w:rFonts w:ascii="Times New Roman" w:hAnsi="Times New Roman" w:cs="Times New Roman"/>
          <w:color w:val="000000"/>
          <w:spacing w:val="-3"/>
        </w:rPr>
        <w:t>Chouinard</w:t>
      </w:r>
      <w:proofErr w:type="spellEnd"/>
      <w:r w:rsidRPr="00B85246">
        <w:rPr>
          <w:rFonts w:ascii="Times New Roman" w:hAnsi="Times New Roman" w:cs="Times New Roman"/>
          <w:color w:val="000000"/>
          <w:spacing w:val="-3"/>
        </w:rPr>
        <w:t>, Wilson and Le Dain JJ.</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proofErr w:type="gramStart"/>
      <w:r w:rsidRPr="00B85246">
        <w:rPr>
          <w:rFonts w:ascii="Times New Roman" w:hAnsi="Times New Roman" w:cs="Times New Roman"/>
          <w:color w:val="000000"/>
          <w:spacing w:val="-3"/>
        </w:rPr>
        <w:t>on</w:t>
      </w:r>
      <w:proofErr w:type="gramEnd"/>
      <w:r w:rsidRPr="00B85246">
        <w:rPr>
          <w:rFonts w:ascii="Times New Roman" w:hAnsi="Times New Roman" w:cs="Times New Roman"/>
          <w:color w:val="000000"/>
          <w:spacing w:val="-3"/>
        </w:rPr>
        <w:t xml:space="preserve"> appeal from the court of appeal for nova scotia</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i/>
          <w:iCs/>
          <w:color w:val="000000"/>
          <w:spacing w:val="-3"/>
        </w:rPr>
        <w:lastRenderedPageBreak/>
        <w:t xml:space="preserve">                  Indians </w:t>
      </w:r>
      <w:r w:rsidRPr="00B85246">
        <w:rPr>
          <w:rFonts w:ascii="Times New Roman" w:hAnsi="Times New Roman" w:cs="Times New Roman"/>
          <w:i/>
          <w:iCs/>
          <w:color w:val="000000"/>
          <w:spacing w:val="-3"/>
        </w:rPr>
        <w:noBreakHyphen/>
      </w:r>
      <w:r w:rsidRPr="00B85246">
        <w:rPr>
          <w:rFonts w:ascii="Times New Roman" w:hAnsi="Times New Roman" w:cs="Times New Roman"/>
          <w:i/>
          <w:iCs/>
          <w:color w:val="000000"/>
          <w:spacing w:val="-3"/>
        </w:rPr>
        <w:noBreakHyphen/>
        <w:t xml:space="preserve"> Treaty rights </w:t>
      </w:r>
      <w:r w:rsidRPr="00B85246">
        <w:rPr>
          <w:rFonts w:ascii="Times New Roman" w:hAnsi="Times New Roman" w:cs="Times New Roman"/>
          <w:i/>
          <w:iCs/>
          <w:color w:val="000000"/>
          <w:spacing w:val="-3"/>
        </w:rPr>
        <w:noBreakHyphen/>
      </w:r>
      <w:r w:rsidRPr="00B85246">
        <w:rPr>
          <w:rFonts w:ascii="Times New Roman" w:hAnsi="Times New Roman" w:cs="Times New Roman"/>
          <w:i/>
          <w:iCs/>
          <w:color w:val="000000"/>
          <w:spacing w:val="-3"/>
        </w:rPr>
        <w:noBreakHyphen/>
        <w:t xml:space="preserve"> Right to hunt </w:t>
      </w:r>
      <w:r w:rsidRPr="00B85246">
        <w:rPr>
          <w:rFonts w:ascii="Times New Roman" w:hAnsi="Times New Roman" w:cs="Times New Roman"/>
          <w:i/>
          <w:iCs/>
          <w:color w:val="000000"/>
          <w:spacing w:val="-3"/>
        </w:rPr>
        <w:noBreakHyphen/>
      </w:r>
      <w:r w:rsidRPr="00B85246">
        <w:rPr>
          <w:rFonts w:ascii="Times New Roman" w:hAnsi="Times New Roman" w:cs="Times New Roman"/>
          <w:i/>
          <w:iCs/>
          <w:color w:val="000000"/>
          <w:spacing w:val="-3"/>
        </w:rPr>
        <w:noBreakHyphen/>
        <w:t xml:space="preserve"> Provincial law restricting that right </w:t>
      </w:r>
      <w:r w:rsidRPr="00B85246">
        <w:rPr>
          <w:rFonts w:ascii="Times New Roman" w:hAnsi="Times New Roman" w:cs="Times New Roman"/>
          <w:i/>
          <w:iCs/>
          <w:color w:val="000000"/>
          <w:spacing w:val="-3"/>
        </w:rPr>
        <w:noBreakHyphen/>
      </w:r>
      <w:r w:rsidRPr="00B85246">
        <w:rPr>
          <w:rFonts w:ascii="Times New Roman" w:hAnsi="Times New Roman" w:cs="Times New Roman"/>
          <w:i/>
          <w:iCs/>
          <w:color w:val="000000"/>
          <w:spacing w:val="-3"/>
        </w:rPr>
        <w:noBreakHyphen/>
        <w:t xml:space="preserve"> Whether or not treaty rights prevail </w:t>
      </w:r>
      <w:r w:rsidRPr="00B85246">
        <w:rPr>
          <w:rFonts w:ascii="Times New Roman" w:hAnsi="Times New Roman" w:cs="Times New Roman"/>
          <w:i/>
          <w:iCs/>
          <w:color w:val="000000"/>
          <w:spacing w:val="-3"/>
        </w:rPr>
        <w:noBreakHyphen/>
      </w:r>
      <w:r w:rsidRPr="00B85246">
        <w:rPr>
          <w:rFonts w:ascii="Times New Roman" w:hAnsi="Times New Roman" w:cs="Times New Roman"/>
          <w:i/>
          <w:iCs/>
          <w:color w:val="000000"/>
          <w:spacing w:val="-3"/>
        </w:rPr>
        <w:noBreakHyphen/>
        <w:t xml:space="preserve"> Indian Act, R.S.C. 1970, c. I</w:t>
      </w:r>
      <w:r w:rsidRPr="00B85246">
        <w:rPr>
          <w:rFonts w:ascii="Times New Roman" w:hAnsi="Times New Roman" w:cs="Times New Roman"/>
          <w:i/>
          <w:iCs/>
          <w:color w:val="000000"/>
          <w:spacing w:val="-3"/>
        </w:rPr>
        <w:noBreakHyphen/>
        <w:t xml:space="preserve">6, s. 88 </w:t>
      </w:r>
      <w:r w:rsidRPr="00B85246">
        <w:rPr>
          <w:rFonts w:ascii="Times New Roman" w:hAnsi="Times New Roman" w:cs="Times New Roman"/>
          <w:i/>
          <w:iCs/>
          <w:color w:val="000000"/>
          <w:spacing w:val="-3"/>
        </w:rPr>
        <w:noBreakHyphen/>
      </w:r>
      <w:r w:rsidRPr="00B85246">
        <w:rPr>
          <w:rFonts w:ascii="Times New Roman" w:hAnsi="Times New Roman" w:cs="Times New Roman"/>
          <w:i/>
          <w:iCs/>
          <w:color w:val="000000"/>
          <w:spacing w:val="-3"/>
        </w:rPr>
        <w:noBreakHyphen/>
        <w:t xml:space="preserve"> Lands and Forests Act, R.S.N.S. 1967, c. 163, s. 150(1) </w:t>
      </w:r>
      <w:r w:rsidRPr="00B85246">
        <w:rPr>
          <w:rFonts w:ascii="Times New Roman" w:hAnsi="Times New Roman" w:cs="Times New Roman"/>
          <w:i/>
          <w:iCs/>
          <w:color w:val="000000"/>
          <w:spacing w:val="-3"/>
        </w:rPr>
        <w:noBreakHyphen/>
      </w:r>
      <w:r w:rsidRPr="00B85246">
        <w:rPr>
          <w:rFonts w:ascii="Times New Roman" w:hAnsi="Times New Roman" w:cs="Times New Roman"/>
          <w:i/>
          <w:iCs/>
          <w:color w:val="000000"/>
          <w:spacing w:val="-3"/>
        </w:rPr>
        <w:noBreakHyphen/>
        <w:t> </w:t>
      </w:r>
      <w:hyperlink r:id="rId8" w:history="1">
        <w:r w:rsidRPr="00B85246">
          <w:rPr>
            <w:rFonts w:ascii="Times New Roman" w:hAnsi="Times New Roman" w:cs="Times New Roman"/>
            <w:i/>
            <w:iCs/>
            <w:color w:val="027ABB"/>
            <w:spacing w:val="-3"/>
          </w:rPr>
          <w:t>Constitution Act, 1982</w:t>
        </w:r>
      </w:hyperlink>
      <w:r w:rsidRPr="00B85246">
        <w:rPr>
          <w:rFonts w:ascii="Times New Roman" w:hAnsi="Times New Roman" w:cs="Times New Roman"/>
          <w:i/>
          <w:iCs/>
          <w:color w:val="000000"/>
          <w:spacing w:val="-3"/>
        </w:rPr>
        <w:t>, </w:t>
      </w:r>
      <w:hyperlink r:id="rId9" w:anchor="sec35_smooth" w:history="1">
        <w:r w:rsidRPr="00B85246">
          <w:rPr>
            <w:rFonts w:ascii="Times New Roman" w:hAnsi="Times New Roman" w:cs="Times New Roman"/>
            <w:i/>
            <w:iCs/>
            <w:color w:val="027ABB"/>
            <w:spacing w:val="-3"/>
          </w:rPr>
          <w:t>s. 35</w:t>
        </w:r>
      </w:hyperlink>
      <w:r w:rsidRPr="00B85246">
        <w:rPr>
          <w:rFonts w:ascii="Times New Roman" w:hAnsi="Times New Roman" w:cs="Times New Roman"/>
          <w:i/>
          <w:iCs/>
          <w:color w:val="000000"/>
          <w:spacing w:val="-3"/>
        </w:rPr>
        <w:t>.</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rPr>
          <w:rFonts w:ascii="Times" w:eastAsia="Times New Roman" w:hAnsi="Times" w:cs="Times New Roman"/>
          <w:color w:val="000000"/>
          <w:sz w:val="27"/>
          <w:szCs w:val="27"/>
        </w:rPr>
      </w:pPr>
      <w:r w:rsidRPr="00B85246">
        <w:rPr>
          <w:rFonts w:ascii="Times New Roman" w:eastAsia="Times New Roman" w:hAnsi="Times New Roman" w:cs="Times New Roman"/>
          <w:color w:val="000000"/>
          <w:spacing w:val="-3"/>
        </w:rPr>
        <w:br w:type="textWrapping" w:clear="all"/>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Appellant, a registered Micmac Indian, was convicted under s. 150(1) of Nova Scotia's </w:t>
      </w:r>
      <w:r w:rsidRPr="00B85246">
        <w:rPr>
          <w:rFonts w:ascii="Times New Roman" w:hAnsi="Times New Roman" w:cs="Times New Roman"/>
          <w:i/>
          <w:iCs/>
          <w:color w:val="000000"/>
          <w:spacing w:val="-3"/>
        </w:rPr>
        <w:t>Lands and Forests Act</w:t>
      </w:r>
      <w:r w:rsidRPr="00B85246">
        <w:rPr>
          <w:rFonts w:ascii="Times New Roman" w:hAnsi="Times New Roman" w:cs="Times New Roman"/>
          <w:color w:val="000000"/>
          <w:spacing w:val="-3"/>
        </w:rPr>
        <w:t> for possession of a rifle and shotgun cartridges. Although appellant admitted all essential elements of the charges, it was argued that the right to hunt set out in the Treaty of 1752, in combination with </w:t>
      </w:r>
      <w:hyperlink r:id="rId10" w:anchor="sec88_smooth" w:history="1">
        <w:r w:rsidRPr="00B85246">
          <w:rPr>
            <w:rFonts w:ascii="Times New Roman" w:hAnsi="Times New Roman" w:cs="Times New Roman"/>
            <w:color w:val="027ABB"/>
            <w:spacing w:val="-3"/>
          </w:rPr>
          <w:t>s. 88</w:t>
        </w:r>
      </w:hyperlink>
      <w:r w:rsidRPr="00B85246">
        <w:rPr>
          <w:rFonts w:ascii="Times New Roman" w:hAnsi="Times New Roman" w:cs="Times New Roman"/>
          <w:color w:val="000000"/>
          <w:spacing w:val="-3"/>
        </w:rPr>
        <w:t> of the </w:t>
      </w:r>
      <w:hyperlink r:id="rId11" w:history="1">
        <w:r w:rsidRPr="00B85246">
          <w:rPr>
            <w:rFonts w:ascii="Times New Roman" w:hAnsi="Times New Roman" w:cs="Times New Roman"/>
            <w:i/>
            <w:iCs/>
            <w:color w:val="027ABB"/>
            <w:spacing w:val="-3"/>
          </w:rPr>
          <w:t>Indian Act</w:t>
        </w:r>
      </w:hyperlink>
      <w:r w:rsidRPr="00B85246">
        <w:rPr>
          <w:rFonts w:ascii="Times New Roman" w:hAnsi="Times New Roman" w:cs="Times New Roman"/>
          <w:color w:val="000000"/>
          <w:spacing w:val="-3"/>
        </w:rPr>
        <w:t xml:space="preserve">, offered him immunity from prosecution under the provincial act. Article 4 of that Treaty stated that the </w:t>
      </w:r>
      <w:proofErr w:type="spellStart"/>
      <w:r w:rsidRPr="00B85246">
        <w:rPr>
          <w:rFonts w:ascii="Times New Roman" w:hAnsi="Times New Roman" w:cs="Times New Roman"/>
          <w:color w:val="000000"/>
          <w:spacing w:val="-3"/>
        </w:rPr>
        <w:t>Micmacs</w:t>
      </w:r>
      <w:proofErr w:type="spellEnd"/>
      <w:r w:rsidRPr="00B85246">
        <w:rPr>
          <w:rFonts w:ascii="Times New Roman" w:hAnsi="Times New Roman" w:cs="Times New Roman"/>
          <w:color w:val="000000"/>
          <w:spacing w:val="-3"/>
        </w:rPr>
        <w:t xml:space="preserve"> have "free liberty of Hunting &amp; Fishing as usual" and </w:t>
      </w:r>
      <w:hyperlink r:id="rId12" w:anchor="sec88_smooth" w:history="1">
        <w:r w:rsidRPr="00B85246">
          <w:rPr>
            <w:rFonts w:ascii="Times New Roman" w:hAnsi="Times New Roman" w:cs="Times New Roman"/>
            <w:color w:val="027ABB"/>
            <w:spacing w:val="-3"/>
          </w:rPr>
          <w:t>s. 88</w:t>
        </w:r>
      </w:hyperlink>
      <w:r w:rsidRPr="00B85246">
        <w:rPr>
          <w:rFonts w:ascii="Times New Roman" w:hAnsi="Times New Roman" w:cs="Times New Roman"/>
          <w:color w:val="000000"/>
          <w:spacing w:val="-3"/>
        </w:rPr>
        <w:t> provided that provincial laws of general application applied to Indians, subject to the terms of any treaty. The Court of Appeal upheld the trial judge's ruling that the Treaty of 1752 did not exempt appellant from the provisions of the provincial </w:t>
      </w:r>
      <w:hyperlink r:id="rId13" w:history="1">
        <w:r w:rsidRPr="00B85246">
          <w:rPr>
            <w:rFonts w:ascii="Times New Roman" w:hAnsi="Times New Roman" w:cs="Times New Roman"/>
            <w:i/>
            <w:iCs/>
            <w:color w:val="027ABB"/>
            <w:spacing w:val="-3"/>
          </w:rPr>
          <w:t>Lands and Forests Act</w:t>
        </w:r>
      </w:hyperlink>
      <w:r w:rsidRPr="00B85246">
        <w:rPr>
          <w:rFonts w:ascii="Times New Roman" w:hAnsi="Times New Roman" w:cs="Times New Roman"/>
          <w:color w:val="000000"/>
          <w:spacing w:val="-3"/>
        </w:rPr>
        <w:t>. At issue here was whether or not appellant enjoys hunting rights, pursuant to the Treaty of 1752 and </w:t>
      </w:r>
      <w:hyperlink r:id="rId14" w:anchor="sec88_smooth" w:history="1">
        <w:r w:rsidRPr="00B85246">
          <w:rPr>
            <w:rFonts w:ascii="Times New Roman" w:hAnsi="Times New Roman" w:cs="Times New Roman"/>
            <w:color w:val="027ABB"/>
            <w:spacing w:val="-3"/>
          </w:rPr>
          <w:t>s. 88</w:t>
        </w:r>
      </w:hyperlink>
      <w:r w:rsidRPr="00B85246">
        <w:rPr>
          <w:rFonts w:ascii="Times New Roman" w:hAnsi="Times New Roman" w:cs="Times New Roman"/>
          <w:color w:val="000000"/>
          <w:spacing w:val="-3"/>
        </w:rPr>
        <w:t> of the </w:t>
      </w:r>
      <w:hyperlink r:id="rId15" w:history="1">
        <w:r w:rsidRPr="00B85246">
          <w:rPr>
            <w:rFonts w:ascii="Times New Roman" w:hAnsi="Times New Roman" w:cs="Times New Roman"/>
            <w:i/>
            <w:iCs/>
            <w:color w:val="027ABB"/>
            <w:spacing w:val="-3"/>
          </w:rPr>
          <w:t>Indian Act</w:t>
        </w:r>
      </w:hyperlink>
      <w:r w:rsidRPr="00B85246">
        <w:rPr>
          <w:rFonts w:ascii="Times New Roman" w:hAnsi="Times New Roman" w:cs="Times New Roman"/>
          <w:color w:val="000000"/>
          <w:spacing w:val="-3"/>
        </w:rPr>
        <w:t>, which preclude his prosecution for certain offences under the </w:t>
      </w:r>
      <w:hyperlink r:id="rId16" w:history="1">
        <w:r w:rsidRPr="00B85246">
          <w:rPr>
            <w:rFonts w:ascii="Times New Roman" w:hAnsi="Times New Roman" w:cs="Times New Roman"/>
            <w:i/>
            <w:iCs/>
            <w:color w:val="027ABB"/>
            <w:spacing w:val="-3"/>
          </w:rPr>
          <w:t>Lands and Forests Act</w:t>
        </w:r>
      </w:hyperlink>
      <w:r w:rsidRPr="00B85246">
        <w:rPr>
          <w:rFonts w:ascii="Times New Roman" w:hAnsi="Times New Roman" w:cs="Times New Roman"/>
          <w:color w:val="000000"/>
          <w:spacing w:val="-3"/>
        </w:rPr>
        <w:t>.</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i/>
          <w:iCs/>
          <w:color w:val="000000"/>
          <w:spacing w:val="-3"/>
        </w:rPr>
        <w:t>                  Held</w:t>
      </w:r>
      <w:r w:rsidRPr="00B85246">
        <w:rPr>
          <w:rFonts w:ascii="Times New Roman" w:hAnsi="Times New Roman" w:cs="Times New Roman"/>
          <w:color w:val="000000"/>
          <w:spacing w:val="-3"/>
        </w:rPr>
        <w:t>: The appeal should be allowed.</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Both Governor Hopson and the Micmac had the capacity to enter into the Treaty of 1752 and did so with the intention of creating mutually binding obligations. The Treaty constitutes a positive source of protection against infringements on hunting rights and the fact that these rights existed before the Treaty as part of the general aboriginal title did not negate or minimize the significance of the rights protected by the Treaty. Although the right to hunt was not absolute, to be effective, it had to include reasonably incidental activities, such as travelling with the necessary equipment to the hunting grounds and possessing a hunting rifle and ammunition in a safe manner.</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The Treaty of 1752 continues to be in force and effect. The principles of international treaty law relating to treaty termination were not determinative because an Indian treaty is unique and </w:t>
      </w:r>
      <w:r w:rsidRPr="00B85246">
        <w:rPr>
          <w:rFonts w:ascii="Times New Roman" w:hAnsi="Times New Roman" w:cs="Times New Roman"/>
          <w:i/>
          <w:iCs/>
          <w:color w:val="000000"/>
          <w:spacing w:val="-3"/>
        </w:rPr>
        <w:t>sui generis</w:t>
      </w:r>
      <w:r w:rsidRPr="00B85246">
        <w:rPr>
          <w:rFonts w:ascii="Times New Roman" w:hAnsi="Times New Roman" w:cs="Times New Roman"/>
          <w:color w:val="000000"/>
          <w:spacing w:val="-3"/>
        </w:rPr>
        <w:t>. Furthermore, nothing in the British conduct subsequent to the conclusion of the Treaty or in the hostilities of 1753 indicated that the Crown considered the terms of the Treaty terminated. Nor was it demonstrated that the hunting rights protected by the Treaty have been extinguished. The Court expressed no view whether, as a matter of law, treaty rights can be extinguished.</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xml:space="preserve">                  Appellant is an Indian covered by the Treaty. He was a registered Micmac Indian living in the same area as the original Micmac Indian </w:t>
      </w:r>
      <w:proofErr w:type="gramStart"/>
      <w:r w:rsidRPr="00B85246">
        <w:rPr>
          <w:rFonts w:ascii="Times New Roman" w:hAnsi="Times New Roman" w:cs="Times New Roman"/>
          <w:color w:val="000000"/>
          <w:spacing w:val="-3"/>
        </w:rPr>
        <w:t>tribe which</w:t>
      </w:r>
      <w:proofErr w:type="gramEnd"/>
      <w:r w:rsidRPr="00B85246">
        <w:rPr>
          <w:rFonts w:ascii="Times New Roman" w:hAnsi="Times New Roman" w:cs="Times New Roman"/>
          <w:color w:val="000000"/>
          <w:spacing w:val="-3"/>
        </w:rPr>
        <w:t xml:space="preserve"> was a party to the Treaty. This was sufficient evidence to prove appellant's connection to that tribe. In light of the Micmac tradition of not committing things to writing, to require more, such as proving direct </w:t>
      </w:r>
      <w:proofErr w:type="spellStart"/>
      <w:r w:rsidRPr="00B85246">
        <w:rPr>
          <w:rFonts w:ascii="Times New Roman" w:hAnsi="Times New Roman" w:cs="Times New Roman"/>
          <w:color w:val="000000"/>
          <w:spacing w:val="-3"/>
        </w:rPr>
        <w:t>descendancy</w:t>
      </w:r>
      <w:proofErr w:type="spellEnd"/>
      <w:r w:rsidRPr="00B85246">
        <w:rPr>
          <w:rFonts w:ascii="Times New Roman" w:hAnsi="Times New Roman" w:cs="Times New Roman"/>
          <w:color w:val="000000"/>
          <w:spacing w:val="-3"/>
        </w:rPr>
        <w:t>, would be impossible and render nugatory any right to hunt that a present day Micmac would otherwise have.</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The Treaty of 1752 is an enforceable obligation between the Indians and the Crown and is therefore within the meaning of </w:t>
      </w:r>
      <w:hyperlink r:id="rId17" w:anchor="sec88_smooth" w:history="1">
        <w:r w:rsidRPr="00B85246">
          <w:rPr>
            <w:rFonts w:ascii="Times New Roman" w:hAnsi="Times New Roman" w:cs="Times New Roman"/>
            <w:color w:val="027ABB"/>
            <w:spacing w:val="-3"/>
          </w:rPr>
          <w:t>s. 88</w:t>
        </w:r>
      </w:hyperlink>
      <w:r w:rsidRPr="00B85246">
        <w:rPr>
          <w:rFonts w:ascii="Times New Roman" w:hAnsi="Times New Roman" w:cs="Times New Roman"/>
          <w:color w:val="000000"/>
          <w:spacing w:val="-3"/>
        </w:rPr>
        <w:t> of the </w:t>
      </w:r>
      <w:hyperlink r:id="rId18" w:history="1">
        <w:r w:rsidRPr="00B85246">
          <w:rPr>
            <w:rFonts w:ascii="Times New Roman" w:hAnsi="Times New Roman" w:cs="Times New Roman"/>
            <w:i/>
            <w:iCs/>
            <w:color w:val="027ABB"/>
            <w:spacing w:val="-3"/>
          </w:rPr>
          <w:t xml:space="preserve">Indian </w:t>
        </w:r>
        <w:proofErr w:type="spellStart"/>
        <w:r w:rsidRPr="00B85246">
          <w:rPr>
            <w:rFonts w:ascii="Times New Roman" w:hAnsi="Times New Roman" w:cs="Times New Roman"/>
            <w:i/>
            <w:iCs/>
            <w:color w:val="027ABB"/>
            <w:spacing w:val="-3"/>
          </w:rPr>
          <w:t>Act</w:t>
        </w:r>
      </w:hyperlink>
      <w:r w:rsidRPr="00B85246">
        <w:rPr>
          <w:rFonts w:ascii="Times New Roman" w:hAnsi="Times New Roman" w:cs="Times New Roman"/>
          <w:color w:val="000000"/>
          <w:spacing w:val="-3"/>
        </w:rPr>
        <w:t>.</w:t>
      </w:r>
      <w:hyperlink r:id="rId19" w:anchor="sec88_smooth" w:history="1">
        <w:r w:rsidRPr="00B85246">
          <w:rPr>
            <w:rFonts w:ascii="Times New Roman" w:hAnsi="Times New Roman" w:cs="Times New Roman"/>
            <w:color w:val="027ABB"/>
            <w:spacing w:val="-3"/>
          </w:rPr>
          <w:t>Section</w:t>
        </w:r>
        <w:proofErr w:type="spellEnd"/>
        <w:r w:rsidRPr="00B85246">
          <w:rPr>
            <w:rFonts w:ascii="Times New Roman" w:hAnsi="Times New Roman" w:cs="Times New Roman"/>
            <w:color w:val="027ABB"/>
            <w:spacing w:val="-3"/>
          </w:rPr>
          <w:t xml:space="preserve"> 88</w:t>
        </w:r>
      </w:hyperlink>
      <w:r w:rsidRPr="00B85246">
        <w:rPr>
          <w:rFonts w:ascii="Times New Roman" w:hAnsi="Times New Roman" w:cs="Times New Roman"/>
          <w:color w:val="000000"/>
          <w:spacing w:val="-3"/>
        </w:rPr>
        <w:t> operates to include all agreements concluded by the Crown with the Indians that would be otherwise enforceable treaties, whether or not land was ceded.</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Appellant's possession of a rifle and ammunition in a safe manner was referable to his treaty right to hunt and was not restricted by </w:t>
      </w:r>
      <w:hyperlink r:id="rId20" w:anchor="sec150subsec1_smooth" w:history="1">
        <w:r w:rsidRPr="00B85246">
          <w:rPr>
            <w:rFonts w:ascii="Times New Roman" w:hAnsi="Times New Roman" w:cs="Times New Roman"/>
            <w:color w:val="027ABB"/>
            <w:spacing w:val="-3"/>
          </w:rPr>
          <w:t>s. 150(1)</w:t>
        </w:r>
      </w:hyperlink>
      <w:r w:rsidRPr="00B85246">
        <w:rPr>
          <w:rFonts w:ascii="Times New Roman" w:hAnsi="Times New Roman" w:cs="Times New Roman"/>
          <w:color w:val="000000"/>
          <w:spacing w:val="-3"/>
        </w:rPr>
        <w:t xml:space="preserve"> of </w:t>
      </w:r>
      <w:proofErr w:type="spellStart"/>
      <w:r w:rsidRPr="00B85246">
        <w:rPr>
          <w:rFonts w:ascii="Times New Roman" w:hAnsi="Times New Roman" w:cs="Times New Roman"/>
          <w:color w:val="000000"/>
          <w:spacing w:val="-3"/>
        </w:rPr>
        <w:t>the</w:t>
      </w:r>
      <w:hyperlink r:id="rId21" w:history="1">
        <w:r w:rsidRPr="00B85246">
          <w:rPr>
            <w:rFonts w:ascii="Times New Roman" w:hAnsi="Times New Roman" w:cs="Times New Roman"/>
            <w:i/>
            <w:iCs/>
            <w:color w:val="027ABB"/>
            <w:spacing w:val="-3"/>
          </w:rPr>
          <w:t>Lands</w:t>
        </w:r>
        <w:proofErr w:type="spellEnd"/>
        <w:r w:rsidRPr="00B85246">
          <w:rPr>
            <w:rFonts w:ascii="Times New Roman" w:hAnsi="Times New Roman" w:cs="Times New Roman"/>
            <w:i/>
            <w:iCs/>
            <w:color w:val="027ABB"/>
            <w:spacing w:val="-3"/>
          </w:rPr>
          <w:t xml:space="preserve"> and Forests Act</w:t>
        </w:r>
      </w:hyperlink>
      <w:r w:rsidRPr="00B85246">
        <w:rPr>
          <w:rFonts w:ascii="Times New Roman" w:hAnsi="Times New Roman" w:cs="Times New Roman"/>
          <w:color w:val="000000"/>
          <w:spacing w:val="-3"/>
        </w:rPr>
        <w:t>. </w:t>
      </w:r>
      <w:hyperlink r:id="rId22" w:anchor="sec88_smooth" w:history="1">
        <w:r w:rsidRPr="00B85246">
          <w:rPr>
            <w:rFonts w:ascii="Times New Roman" w:hAnsi="Times New Roman" w:cs="Times New Roman"/>
            <w:color w:val="027ABB"/>
            <w:spacing w:val="-3"/>
          </w:rPr>
          <w:t>Section 88</w:t>
        </w:r>
      </w:hyperlink>
      <w:r w:rsidRPr="00B85246">
        <w:rPr>
          <w:rFonts w:ascii="Times New Roman" w:hAnsi="Times New Roman" w:cs="Times New Roman"/>
          <w:color w:val="000000"/>
          <w:spacing w:val="-3"/>
        </w:rPr>
        <w:t> of the </w:t>
      </w:r>
      <w:hyperlink r:id="rId23" w:history="1">
        <w:r w:rsidRPr="00B85246">
          <w:rPr>
            <w:rFonts w:ascii="Times New Roman" w:hAnsi="Times New Roman" w:cs="Times New Roman"/>
            <w:i/>
            <w:iCs/>
            <w:color w:val="027ABB"/>
            <w:spacing w:val="-3"/>
          </w:rPr>
          <w:t>Indian Act</w:t>
        </w:r>
      </w:hyperlink>
      <w:r w:rsidRPr="00B85246">
        <w:rPr>
          <w:rFonts w:ascii="Times New Roman" w:hAnsi="Times New Roman" w:cs="Times New Roman"/>
          <w:color w:val="000000"/>
          <w:spacing w:val="-3"/>
        </w:rPr>
        <w:t>, which applies only to provincial legislation, operates to exempt Indians from legislation restricting or contravening a term of any treaty and must prevail over </w:t>
      </w:r>
      <w:hyperlink r:id="rId24" w:anchor="sec150subsec1_smooth" w:history="1">
        <w:r w:rsidRPr="00B85246">
          <w:rPr>
            <w:rFonts w:ascii="Times New Roman" w:hAnsi="Times New Roman" w:cs="Times New Roman"/>
            <w:color w:val="027ABB"/>
            <w:spacing w:val="-3"/>
          </w:rPr>
          <w:t>s. 150(1)</w:t>
        </w:r>
      </w:hyperlink>
      <w:r w:rsidRPr="00B85246">
        <w:rPr>
          <w:rFonts w:ascii="Times New Roman" w:hAnsi="Times New Roman" w:cs="Times New Roman"/>
          <w:color w:val="000000"/>
          <w:spacing w:val="-3"/>
        </w:rPr>
        <w:t> of the </w:t>
      </w:r>
      <w:hyperlink r:id="rId25" w:history="1">
        <w:r w:rsidRPr="00B85246">
          <w:rPr>
            <w:rFonts w:ascii="Times New Roman" w:hAnsi="Times New Roman" w:cs="Times New Roman"/>
            <w:i/>
            <w:iCs/>
            <w:color w:val="027ABB"/>
            <w:spacing w:val="-3"/>
          </w:rPr>
          <w:t>Lands and Forests Act</w:t>
        </w:r>
      </w:hyperlink>
      <w:r w:rsidRPr="00B85246">
        <w:rPr>
          <w:rFonts w:ascii="Times New Roman" w:hAnsi="Times New Roman" w:cs="Times New Roman"/>
          <w:color w:val="000000"/>
          <w:spacing w:val="-3"/>
        </w:rPr>
        <w:t>.</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It was not necessary to consider </w:t>
      </w:r>
      <w:hyperlink r:id="rId26" w:anchor="sec35_smooth" w:history="1">
        <w:r w:rsidRPr="00B85246">
          <w:rPr>
            <w:rFonts w:ascii="Times New Roman" w:hAnsi="Times New Roman" w:cs="Times New Roman"/>
            <w:color w:val="027ABB"/>
            <w:spacing w:val="-3"/>
          </w:rPr>
          <w:t>s. 35</w:t>
        </w:r>
      </w:hyperlink>
      <w:r w:rsidRPr="00B85246">
        <w:rPr>
          <w:rFonts w:ascii="Times New Roman" w:hAnsi="Times New Roman" w:cs="Times New Roman"/>
          <w:color w:val="000000"/>
          <w:spacing w:val="-3"/>
        </w:rPr>
        <w:t> of the </w:t>
      </w:r>
      <w:hyperlink r:id="rId27" w:history="1">
        <w:r w:rsidRPr="00B85246">
          <w:rPr>
            <w:rFonts w:ascii="Times New Roman" w:hAnsi="Times New Roman" w:cs="Times New Roman"/>
            <w:i/>
            <w:iCs/>
            <w:color w:val="027ABB"/>
            <w:spacing w:val="-3"/>
          </w:rPr>
          <w:t>Constitution Act, 1982</w:t>
        </w:r>
      </w:hyperlink>
      <w:r w:rsidRPr="00B85246">
        <w:rPr>
          <w:rFonts w:ascii="Times New Roman" w:hAnsi="Times New Roman" w:cs="Times New Roman"/>
          <w:color w:val="000000"/>
          <w:spacing w:val="-3"/>
        </w:rPr>
        <w:t> since </w:t>
      </w:r>
      <w:hyperlink r:id="rId28" w:anchor="sec88_smooth" w:history="1">
        <w:r w:rsidRPr="00B85246">
          <w:rPr>
            <w:rFonts w:ascii="Times New Roman" w:hAnsi="Times New Roman" w:cs="Times New Roman"/>
            <w:color w:val="027ABB"/>
            <w:spacing w:val="-3"/>
          </w:rPr>
          <w:t>s. 88</w:t>
        </w:r>
      </w:hyperlink>
      <w:r w:rsidRPr="00B85246">
        <w:rPr>
          <w:rFonts w:ascii="Times New Roman" w:hAnsi="Times New Roman" w:cs="Times New Roman"/>
          <w:color w:val="000000"/>
          <w:spacing w:val="-3"/>
        </w:rPr>
        <w:t> of the </w:t>
      </w:r>
      <w:hyperlink r:id="rId29" w:history="1">
        <w:r w:rsidRPr="00B85246">
          <w:rPr>
            <w:rFonts w:ascii="Times New Roman" w:hAnsi="Times New Roman" w:cs="Times New Roman"/>
            <w:i/>
            <w:iCs/>
            <w:color w:val="027ABB"/>
            <w:spacing w:val="-3"/>
          </w:rPr>
          <w:t>Indian Act</w:t>
        </w:r>
      </w:hyperlink>
      <w:r w:rsidRPr="00B85246">
        <w:rPr>
          <w:rFonts w:ascii="Times New Roman" w:hAnsi="Times New Roman" w:cs="Times New Roman"/>
          <w:color w:val="000000"/>
          <w:spacing w:val="-3"/>
        </w:rPr>
        <w:t> covered the present situation and provided the necessary protection for the appellant.</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b/>
          <w:bCs/>
          <w:color w:val="000000"/>
          <w:spacing w:val="-3"/>
        </w:rPr>
        <w:t>Cases Cited</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i/>
          <w:iCs/>
          <w:color w:val="000000"/>
          <w:spacing w:val="-3"/>
        </w:rPr>
        <w:t xml:space="preserve">                  R. </w:t>
      </w:r>
      <w:proofErr w:type="gramStart"/>
      <w:r w:rsidRPr="00B85246">
        <w:rPr>
          <w:rFonts w:ascii="Times New Roman" w:hAnsi="Times New Roman" w:cs="Times New Roman"/>
          <w:i/>
          <w:iCs/>
          <w:color w:val="000000"/>
          <w:spacing w:val="-3"/>
        </w:rPr>
        <w:t>v</w:t>
      </w:r>
      <w:proofErr w:type="gramEnd"/>
      <w:r w:rsidRPr="00B85246">
        <w:rPr>
          <w:rFonts w:ascii="Times New Roman" w:hAnsi="Times New Roman" w:cs="Times New Roman"/>
          <w:i/>
          <w:iCs/>
          <w:color w:val="000000"/>
          <w:spacing w:val="-3"/>
        </w:rPr>
        <w:t>. Isaac</w:t>
      </w:r>
      <w:r w:rsidRPr="00B85246">
        <w:rPr>
          <w:rFonts w:ascii="Times New Roman" w:hAnsi="Times New Roman" w:cs="Times New Roman"/>
          <w:color w:val="000000"/>
          <w:spacing w:val="-3"/>
        </w:rPr>
        <w:t> (1975), 13 N.S.R. (2d) 460; </w:t>
      </w:r>
      <w:r w:rsidRPr="00B85246">
        <w:rPr>
          <w:rFonts w:ascii="Times New Roman" w:hAnsi="Times New Roman" w:cs="Times New Roman"/>
          <w:i/>
          <w:iCs/>
          <w:color w:val="000000"/>
          <w:spacing w:val="-3"/>
        </w:rPr>
        <w:t>R. v. Cope</w:t>
      </w:r>
      <w:r w:rsidRPr="00B85246">
        <w:rPr>
          <w:rFonts w:ascii="Times New Roman" w:hAnsi="Times New Roman" w:cs="Times New Roman"/>
          <w:color w:val="000000"/>
          <w:spacing w:val="-3"/>
        </w:rPr>
        <w:t> (1982), </w:t>
      </w:r>
      <w:hyperlink r:id="rId30" w:history="1">
        <w:r w:rsidRPr="00B85246">
          <w:rPr>
            <w:rFonts w:ascii="Times New Roman" w:hAnsi="Times New Roman" w:cs="Times New Roman"/>
            <w:color w:val="027ABB"/>
            <w:spacing w:val="-3"/>
          </w:rPr>
          <w:t xml:space="preserve">1981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2722 (NS CA)</w:t>
        </w:r>
      </w:hyperlink>
      <w:r w:rsidRPr="00B85246">
        <w:rPr>
          <w:rFonts w:ascii="Times New Roman" w:hAnsi="Times New Roman" w:cs="Times New Roman"/>
          <w:color w:val="000000"/>
          <w:spacing w:val="-3"/>
        </w:rPr>
        <w:t>, 49 N.S.R. (2d) 555; </w:t>
      </w:r>
      <w:r w:rsidRPr="00B85246">
        <w:rPr>
          <w:rFonts w:ascii="Times New Roman" w:hAnsi="Times New Roman" w:cs="Times New Roman"/>
          <w:i/>
          <w:iCs/>
          <w:color w:val="000000"/>
          <w:spacing w:val="-3"/>
        </w:rPr>
        <w:t xml:space="preserve">R. v. </w:t>
      </w:r>
      <w:proofErr w:type="spellStart"/>
      <w:r w:rsidRPr="00B85246">
        <w:rPr>
          <w:rFonts w:ascii="Times New Roman" w:hAnsi="Times New Roman" w:cs="Times New Roman"/>
          <w:i/>
          <w:iCs/>
          <w:color w:val="000000"/>
          <w:spacing w:val="-3"/>
        </w:rPr>
        <w:t>Syliboy</w:t>
      </w:r>
      <w:proofErr w:type="spellEnd"/>
      <w:r w:rsidRPr="00B85246">
        <w:rPr>
          <w:rFonts w:ascii="Times New Roman" w:hAnsi="Times New Roman" w:cs="Times New Roman"/>
          <w:color w:val="000000"/>
          <w:spacing w:val="-3"/>
        </w:rPr>
        <w:t>, </w:t>
      </w:r>
      <w:hyperlink r:id="rId31" w:history="1">
        <w:r w:rsidRPr="00B85246">
          <w:rPr>
            <w:rFonts w:ascii="Times New Roman" w:hAnsi="Times New Roman" w:cs="Times New Roman"/>
            <w:color w:val="027ABB"/>
            <w:spacing w:val="-3"/>
          </w:rPr>
          <w:t xml:space="preserve">1928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352 (NS SC)</w:t>
        </w:r>
      </w:hyperlink>
      <w:r w:rsidRPr="00B85246">
        <w:rPr>
          <w:rFonts w:ascii="Times New Roman" w:hAnsi="Times New Roman" w:cs="Times New Roman"/>
          <w:color w:val="000000"/>
          <w:spacing w:val="-3"/>
        </w:rPr>
        <w:t>,[1929] 1 D.L.R. 307; </w:t>
      </w:r>
      <w:r w:rsidRPr="00B85246">
        <w:rPr>
          <w:rFonts w:ascii="Times New Roman" w:hAnsi="Times New Roman" w:cs="Times New Roman"/>
          <w:i/>
          <w:iCs/>
          <w:color w:val="000000"/>
          <w:spacing w:val="-3"/>
        </w:rPr>
        <w:t>R. v. Simon</w:t>
      </w:r>
      <w:r w:rsidRPr="00B85246">
        <w:rPr>
          <w:rFonts w:ascii="Times New Roman" w:hAnsi="Times New Roman" w:cs="Times New Roman"/>
          <w:color w:val="000000"/>
          <w:spacing w:val="-3"/>
        </w:rPr>
        <w:t> (1958), 124 C.C.C. 110; </w:t>
      </w:r>
      <w:r w:rsidRPr="00B85246">
        <w:rPr>
          <w:rFonts w:ascii="Times New Roman" w:hAnsi="Times New Roman" w:cs="Times New Roman"/>
          <w:i/>
          <w:iCs/>
          <w:color w:val="000000"/>
          <w:spacing w:val="-3"/>
        </w:rPr>
        <w:t>R. v</w:t>
      </w:r>
      <w:r w:rsidRPr="00B85246">
        <w:rPr>
          <w:rFonts w:ascii="Times New Roman" w:hAnsi="Times New Roman" w:cs="Times New Roman"/>
          <w:color w:val="000000"/>
          <w:spacing w:val="-3"/>
        </w:rPr>
        <w:t>. </w:t>
      </w:r>
      <w:r w:rsidRPr="00B85246">
        <w:rPr>
          <w:rFonts w:ascii="Times New Roman" w:hAnsi="Times New Roman" w:cs="Times New Roman"/>
          <w:i/>
          <w:iCs/>
          <w:color w:val="000000"/>
          <w:spacing w:val="-3"/>
        </w:rPr>
        <w:t>Francis</w:t>
      </w:r>
      <w:r w:rsidRPr="00B85246">
        <w:rPr>
          <w:rFonts w:ascii="Times New Roman" w:hAnsi="Times New Roman" w:cs="Times New Roman"/>
          <w:color w:val="000000"/>
          <w:spacing w:val="-3"/>
        </w:rPr>
        <w:t> (1969), </w:t>
      </w:r>
      <w:hyperlink r:id="rId32" w:history="1">
        <w:r w:rsidRPr="00B85246">
          <w:rPr>
            <w:rFonts w:ascii="Times New Roman" w:hAnsi="Times New Roman" w:cs="Times New Roman"/>
            <w:color w:val="027ABB"/>
            <w:spacing w:val="-3"/>
          </w:rPr>
          <w:t xml:space="preserve">1969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848 (NB CA)</w:t>
        </w:r>
      </w:hyperlink>
      <w:r w:rsidRPr="00B85246">
        <w:rPr>
          <w:rFonts w:ascii="Times New Roman" w:hAnsi="Times New Roman" w:cs="Times New Roman"/>
          <w:color w:val="000000"/>
          <w:spacing w:val="-3"/>
        </w:rPr>
        <w:t>, 10 D.L.R. (3d) 189; </w:t>
      </w:r>
      <w:r w:rsidRPr="00B85246">
        <w:rPr>
          <w:rFonts w:ascii="Times New Roman" w:hAnsi="Times New Roman" w:cs="Times New Roman"/>
          <w:i/>
          <w:iCs/>
          <w:color w:val="000000"/>
          <w:spacing w:val="-3"/>
        </w:rPr>
        <w:t>R. v. Paul</w:t>
      </w:r>
      <w:r w:rsidRPr="00B85246">
        <w:rPr>
          <w:rFonts w:ascii="Times New Roman" w:hAnsi="Times New Roman" w:cs="Times New Roman"/>
          <w:color w:val="000000"/>
          <w:spacing w:val="-3"/>
        </w:rPr>
        <w:t> (1980), 30 N.B.R. (2d) 545; </w:t>
      </w:r>
      <w:r w:rsidRPr="00B85246">
        <w:rPr>
          <w:rFonts w:ascii="Times New Roman" w:hAnsi="Times New Roman" w:cs="Times New Roman"/>
          <w:i/>
          <w:iCs/>
          <w:color w:val="000000"/>
          <w:spacing w:val="-3"/>
        </w:rPr>
        <w:t xml:space="preserve">R. v. </w:t>
      </w:r>
      <w:proofErr w:type="spellStart"/>
      <w:r w:rsidRPr="00B85246">
        <w:rPr>
          <w:rFonts w:ascii="Times New Roman" w:hAnsi="Times New Roman" w:cs="Times New Roman"/>
          <w:i/>
          <w:iCs/>
          <w:color w:val="000000"/>
          <w:spacing w:val="-3"/>
        </w:rPr>
        <w:t>Atwin</w:t>
      </w:r>
      <w:proofErr w:type="spellEnd"/>
      <w:r w:rsidRPr="00B85246">
        <w:rPr>
          <w:rFonts w:ascii="Times New Roman" w:hAnsi="Times New Roman" w:cs="Times New Roman"/>
          <w:i/>
          <w:iCs/>
          <w:color w:val="000000"/>
          <w:spacing w:val="-3"/>
        </w:rPr>
        <w:t xml:space="preserve"> and </w:t>
      </w:r>
      <w:proofErr w:type="spellStart"/>
      <w:r w:rsidRPr="00B85246">
        <w:rPr>
          <w:rFonts w:ascii="Times New Roman" w:hAnsi="Times New Roman" w:cs="Times New Roman"/>
          <w:i/>
          <w:iCs/>
          <w:color w:val="000000"/>
          <w:spacing w:val="-3"/>
        </w:rPr>
        <w:t>Sacobie</w:t>
      </w:r>
      <w:proofErr w:type="spellEnd"/>
      <w:r w:rsidRPr="00B85246">
        <w:rPr>
          <w:rFonts w:ascii="Times New Roman" w:hAnsi="Times New Roman" w:cs="Times New Roman"/>
          <w:color w:val="000000"/>
          <w:spacing w:val="-3"/>
        </w:rPr>
        <w:t>, [1981] 2 C.N.L.R. 99; </w:t>
      </w:r>
      <w:r w:rsidRPr="00B85246">
        <w:rPr>
          <w:rFonts w:ascii="Times New Roman" w:hAnsi="Times New Roman" w:cs="Times New Roman"/>
          <w:i/>
          <w:iCs/>
          <w:color w:val="000000"/>
          <w:spacing w:val="-3"/>
        </w:rPr>
        <w:t>R. v. Secretary of State for Foreign and Commonwealth</w:t>
      </w:r>
      <w:r w:rsidRPr="00B85246">
        <w:rPr>
          <w:rFonts w:ascii="Times New Roman" w:hAnsi="Times New Roman" w:cs="Times New Roman"/>
          <w:color w:val="000000"/>
          <w:spacing w:val="-3"/>
        </w:rPr>
        <w:t> </w:t>
      </w:r>
      <w:r w:rsidRPr="00B85246">
        <w:rPr>
          <w:rFonts w:ascii="Times New Roman" w:hAnsi="Times New Roman" w:cs="Times New Roman"/>
          <w:i/>
          <w:iCs/>
          <w:color w:val="000000"/>
          <w:spacing w:val="-3"/>
        </w:rPr>
        <w:t>Affairs, ex parte Indian Association of Alberta</w:t>
      </w:r>
      <w:r w:rsidRPr="00B85246">
        <w:rPr>
          <w:rFonts w:ascii="Times New Roman" w:hAnsi="Times New Roman" w:cs="Times New Roman"/>
          <w:color w:val="000000"/>
          <w:spacing w:val="-3"/>
        </w:rPr>
        <w:t>, [1982s &lt;) 2 All E.R. 118; </w:t>
      </w:r>
      <w:r w:rsidRPr="00B85246">
        <w:rPr>
          <w:rFonts w:ascii="Times New Roman" w:hAnsi="Times New Roman" w:cs="Times New Roman"/>
          <w:i/>
          <w:iCs/>
          <w:color w:val="000000"/>
          <w:spacing w:val="-3"/>
        </w:rPr>
        <w:t>R. v. Paul and</w:t>
      </w:r>
      <w:r w:rsidRPr="00B85246">
        <w:rPr>
          <w:rFonts w:ascii="Times New Roman" w:hAnsi="Times New Roman" w:cs="Times New Roman"/>
          <w:color w:val="000000"/>
          <w:spacing w:val="-3"/>
        </w:rPr>
        <w:t> </w:t>
      </w:r>
      <w:proofErr w:type="spellStart"/>
      <w:r w:rsidRPr="00B85246">
        <w:rPr>
          <w:rFonts w:ascii="Times New Roman" w:hAnsi="Times New Roman" w:cs="Times New Roman"/>
          <w:i/>
          <w:iCs/>
          <w:color w:val="000000"/>
          <w:spacing w:val="-3"/>
        </w:rPr>
        <w:t>Polchies</w:t>
      </w:r>
      <w:proofErr w:type="spellEnd"/>
      <w:r w:rsidRPr="00B85246">
        <w:rPr>
          <w:rFonts w:ascii="Times New Roman" w:hAnsi="Times New Roman" w:cs="Times New Roman"/>
          <w:color w:val="000000"/>
          <w:spacing w:val="-3"/>
        </w:rPr>
        <w:t> (1984), 58 N.B.R. (2d) 297; </w:t>
      </w:r>
      <w:proofErr w:type="spellStart"/>
      <w:r w:rsidRPr="00B85246">
        <w:rPr>
          <w:rFonts w:ascii="Times New Roman" w:hAnsi="Times New Roman" w:cs="Times New Roman"/>
          <w:i/>
          <w:iCs/>
          <w:color w:val="000000"/>
          <w:spacing w:val="-3"/>
        </w:rPr>
        <w:t>Nowegijick</w:t>
      </w:r>
      <w:proofErr w:type="spellEnd"/>
      <w:r w:rsidRPr="00B85246">
        <w:rPr>
          <w:rFonts w:ascii="Times New Roman" w:hAnsi="Times New Roman" w:cs="Times New Roman"/>
          <w:i/>
          <w:iCs/>
          <w:color w:val="000000"/>
          <w:spacing w:val="-3"/>
        </w:rPr>
        <w:t xml:space="preserve"> v. The</w:t>
      </w:r>
      <w:r w:rsidRPr="00B85246">
        <w:rPr>
          <w:rFonts w:ascii="Times New Roman" w:hAnsi="Times New Roman" w:cs="Times New Roman"/>
          <w:color w:val="000000"/>
          <w:spacing w:val="-3"/>
        </w:rPr>
        <w:t> </w:t>
      </w:r>
      <w:r w:rsidRPr="00B85246">
        <w:rPr>
          <w:rFonts w:ascii="Times New Roman" w:hAnsi="Times New Roman" w:cs="Times New Roman"/>
          <w:i/>
          <w:iCs/>
          <w:color w:val="000000"/>
          <w:spacing w:val="-3"/>
        </w:rPr>
        <w:t>Queen</w:t>
      </w:r>
      <w:r w:rsidRPr="00B85246">
        <w:rPr>
          <w:rFonts w:ascii="Times New Roman" w:hAnsi="Times New Roman" w:cs="Times New Roman"/>
          <w:color w:val="000000"/>
          <w:spacing w:val="-3"/>
        </w:rPr>
        <w:t>, </w:t>
      </w:r>
      <w:hyperlink r:id="rId33" w:history="1">
        <w:r w:rsidRPr="00B85246">
          <w:rPr>
            <w:rFonts w:ascii="Times New Roman" w:hAnsi="Times New Roman" w:cs="Times New Roman"/>
            <w:color w:val="027ABB"/>
            <w:spacing w:val="-3"/>
          </w:rPr>
          <w:t xml:space="preserve">1983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18 (SCC)</w:t>
        </w:r>
      </w:hyperlink>
      <w:r w:rsidRPr="00B85246">
        <w:rPr>
          <w:rFonts w:ascii="Times New Roman" w:hAnsi="Times New Roman" w:cs="Times New Roman"/>
          <w:color w:val="000000"/>
          <w:spacing w:val="-3"/>
        </w:rPr>
        <w:t>, [1983] 1 S.C.R. 29; </w:t>
      </w:r>
      <w:r w:rsidRPr="00B85246">
        <w:rPr>
          <w:rFonts w:ascii="Times New Roman" w:hAnsi="Times New Roman" w:cs="Times New Roman"/>
          <w:i/>
          <w:iCs/>
          <w:color w:val="000000"/>
          <w:spacing w:val="-3"/>
        </w:rPr>
        <w:t>R. v. White and Bob</w:t>
      </w:r>
      <w:r w:rsidRPr="00B85246">
        <w:rPr>
          <w:rFonts w:ascii="Times New Roman" w:hAnsi="Times New Roman" w:cs="Times New Roman"/>
          <w:color w:val="000000"/>
          <w:spacing w:val="-3"/>
        </w:rPr>
        <w:t> (1964), </w:t>
      </w:r>
      <w:hyperlink r:id="rId34" w:history="1">
        <w:r w:rsidRPr="00B85246">
          <w:rPr>
            <w:rFonts w:ascii="Times New Roman" w:hAnsi="Times New Roman" w:cs="Times New Roman"/>
            <w:color w:val="027ABB"/>
            <w:spacing w:val="-3"/>
          </w:rPr>
          <w:t xml:space="preserve">1964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452 (BC CA)</w:t>
        </w:r>
      </w:hyperlink>
      <w:r w:rsidRPr="00B85246">
        <w:rPr>
          <w:rFonts w:ascii="Times New Roman" w:hAnsi="Times New Roman" w:cs="Times New Roman"/>
          <w:color w:val="000000"/>
          <w:spacing w:val="-3"/>
        </w:rPr>
        <w:t xml:space="preserve">, 50 D.L.R. (2d) 613, </w:t>
      </w:r>
      <w:proofErr w:type="spellStart"/>
      <w:r w:rsidRPr="00B85246">
        <w:rPr>
          <w:rFonts w:ascii="Times New Roman" w:hAnsi="Times New Roman" w:cs="Times New Roman"/>
          <w:color w:val="000000"/>
          <w:spacing w:val="-3"/>
        </w:rPr>
        <w:t>aff'd</w:t>
      </w:r>
      <w:proofErr w:type="spellEnd"/>
      <w:r w:rsidRPr="00B85246">
        <w:rPr>
          <w:rFonts w:ascii="Times New Roman" w:hAnsi="Times New Roman" w:cs="Times New Roman"/>
          <w:color w:val="000000"/>
          <w:spacing w:val="-3"/>
        </w:rPr>
        <w:t xml:space="preserve"> [1965] S.C.R. </w:t>
      </w:r>
      <w:proofErr w:type="gramStart"/>
      <w:r w:rsidRPr="00B85246">
        <w:rPr>
          <w:rFonts w:ascii="Times New Roman" w:hAnsi="Times New Roman" w:cs="Times New Roman"/>
          <w:color w:val="000000"/>
          <w:spacing w:val="-3"/>
        </w:rPr>
        <w:t>vi</w:t>
      </w:r>
      <w:proofErr w:type="gramEnd"/>
      <w:r w:rsidRPr="00B85246">
        <w:rPr>
          <w:rFonts w:ascii="Times New Roman" w:hAnsi="Times New Roman" w:cs="Times New Roman"/>
          <w:color w:val="000000"/>
          <w:spacing w:val="-3"/>
        </w:rPr>
        <w:t>, </w:t>
      </w:r>
      <w:hyperlink r:id="rId35" w:history="1">
        <w:r w:rsidRPr="00B85246">
          <w:rPr>
            <w:rFonts w:ascii="Times New Roman" w:hAnsi="Times New Roman" w:cs="Times New Roman"/>
            <w:color w:val="027ABB"/>
            <w:spacing w:val="-3"/>
          </w:rPr>
          <w:t xml:space="preserve">1965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643 (SCC)</w:t>
        </w:r>
      </w:hyperlink>
      <w:r w:rsidRPr="00B85246">
        <w:rPr>
          <w:rFonts w:ascii="Times New Roman" w:hAnsi="Times New Roman" w:cs="Times New Roman"/>
          <w:color w:val="000000"/>
          <w:spacing w:val="-3"/>
        </w:rPr>
        <w:t>, 52 D.L.R. (2d) 481; </w:t>
      </w:r>
      <w:r w:rsidRPr="00B85246">
        <w:rPr>
          <w:rFonts w:ascii="Times New Roman" w:hAnsi="Times New Roman" w:cs="Times New Roman"/>
          <w:i/>
          <w:iCs/>
          <w:color w:val="000000"/>
          <w:spacing w:val="-3"/>
        </w:rPr>
        <w:t xml:space="preserve">Francis v. </w:t>
      </w:r>
      <w:proofErr w:type="gramStart"/>
      <w:r w:rsidRPr="00B85246">
        <w:rPr>
          <w:rFonts w:ascii="Times New Roman" w:hAnsi="Times New Roman" w:cs="Times New Roman"/>
          <w:i/>
          <w:iCs/>
          <w:color w:val="000000"/>
          <w:spacing w:val="-3"/>
        </w:rPr>
        <w:t>The Queen</w:t>
      </w:r>
      <w:r w:rsidRPr="00B85246">
        <w:rPr>
          <w:rFonts w:ascii="Times New Roman" w:hAnsi="Times New Roman" w:cs="Times New Roman"/>
          <w:color w:val="000000"/>
          <w:spacing w:val="-3"/>
        </w:rPr>
        <w:t>,</w:t>
      </w:r>
      <w:hyperlink r:id="rId36" w:history="1">
        <w:r w:rsidRPr="00B85246">
          <w:rPr>
            <w:rFonts w:ascii="Times New Roman" w:hAnsi="Times New Roman" w:cs="Times New Roman"/>
            <w:color w:val="027ABB"/>
            <w:spacing w:val="-3"/>
          </w:rPr>
          <w:t xml:space="preserve">1956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79 (SCC)</w:t>
        </w:r>
      </w:hyperlink>
      <w:r w:rsidRPr="00B85246">
        <w:rPr>
          <w:rFonts w:ascii="Times New Roman" w:hAnsi="Times New Roman" w:cs="Times New Roman"/>
          <w:color w:val="000000"/>
          <w:spacing w:val="-3"/>
        </w:rPr>
        <w:t>, [1956] S.C.R. 618; </w:t>
      </w:r>
      <w:proofErr w:type="spellStart"/>
      <w:r w:rsidRPr="00B85246">
        <w:rPr>
          <w:rFonts w:ascii="Times New Roman" w:hAnsi="Times New Roman" w:cs="Times New Roman"/>
          <w:i/>
          <w:iCs/>
          <w:color w:val="000000"/>
          <w:spacing w:val="-3"/>
        </w:rPr>
        <w:t>Pawis</w:t>
      </w:r>
      <w:proofErr w:type="spellEnd"/>
      <w:r w:rsidRPr="00B85246">
        <w:rPr>
          <w:rFonts w:ascii="Times New Roman" w:hAnsi="Times New Roman" w:cs="Times New Roman"/>
          <w:color w:val="000000"/>
          <w:spacing w:val="-3"/>
        </w:rPr>
        <w:t> </w:t>
      </w:r>
      <w:r w:rsidRPr="00B85246">
        <w:rPr>
          <w:rFonts w:ascii="Times New Roman" w:hAnsi="Times New Roman" w:cs="Times New Roman"/>
          <w:i/>
          <w:iCs/>
          <w:color w:val="000000"/>
          <w:spacing w:val="-3"/>
        </w:rPr>
        <w:t>v.</w:t>
      </w:r>
      <w:proofErr w:type="gramEnd"/>
      <w:r w:rsidRPr="00B85246">
        <w:rPr>
          <w:rFonts w:ascii="Times New Roman" w:hAnsi="Times New Roman" w:cs="Times New Roman"/>
          <w:i/>
          <w:iCs/>
          <w:color w:val="000000"/>
          <w:spacing w:val="-3"/>
        </w:rPr>
        <w:t xml:space="preserve"> The Queen</w:t>
      </w:r>
      <w:r w:rsidRPr="00B85246">
        <w:rPr>
          <w:rFonts w:ascii="Times New Roman" w:hAnsi="Times New Roman" w:cs="Times New Roman"/>
          <w:color w:val="000000"/>
          <w:spacing w:val="-3"/>
        </w:rPr>
        <w:t>, [1980] 2 F.C. 18, (1979), </w:t>
      </w:r>
      <w:hyperlink r:id="rId37" w:history="1">
        <w:r w:rsidRPr="00B85246">
          <w:rPr>
            <w:rFonts w:ascii="Times New Roman" w:hAnsi="Times New Roman" w:cs="Times New Roman"/>
            <w:color w:val="027ABB"/>
            <w:spacing w:val="-3"/>
          </w:rPr>
          <w:t xml:space="preserve">1979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2598 (FC)</w:t>
        </w:r>
      </w:hyperlink>
      <w:r w:rsidRPr="00B85246">
        <w:rPr>
          <w:rFonts w:ascii="Times New Roman" w:hAnsi="Times New Roman" w:cs="Times New Roman"/>
          <w:color w:val="000000"/>
          <w:spacing w:val="-3"/>
        </w:rPr>
        <w:t>, 102 D.L.R. (3d) 602; </w:t>
      </w:r>
      <w:r w:rsidRPr="00B85246">
        <w:rPr>
          <w:rFonts w:ascii="Times New Roman" w:hAnsi="Times New Roman" w:cs="Times New Roman"/>
          <w:i/>
          <w:iCs/>
          <w:color w:val="000000"/>
          <w:spacing w:val="-3"/>
        </w:rPr>
        <w:t xml:space="preserve">Calder </w:t>
      </w:r>
      <w:proofErr w:type="spellStart"/>
      <w:proofErr w:type="gramStart"/>
      <w:r w:rsidRPr="00B85246">
        <w:rPr>
          <w:rFonts w:ascii="Times New Roman" w:hAnsi="Times New Roman" w:cs="Times New Roman"/>
          <w:i/>
          <w:iCs/>
          <w:color w:val="000000"/>
          <w:spacing w:val="-3"/>
        </w:rPr>
        <w:t>v.Attorney</w:t>
      </w:r>
      <w:proofErr w:type="spellEnd"/>
      <w:proofErr w:type="gramEnd"/>
      <w:r w:rsidRPr="00B85246">
        <w:rPr>
          <w:rFonts w:ascii="Times New Roman" w:hAnsi="Times New Roman" w:cs="Times New Roman"/>
          <w:i/>
          <w:iCs/>
          <w:color w:val="000000"/>
          <w:spacing w:val="-3"/>
        </w:rPr>
        <w:noBreakHyphen/>
        <w:t>General of British Columbia</w:t>
      </w:r>
      <w:r w:rsidRPr="00B85246">
        <w:rPr>
          <w:rFonts w:ascii="Times New Roman" w:hAnsi="Times New Roman" w:cs="Times New Roman"/>
          <w:color w:val="000000"/>
          <w:spacing w:val="-3"/>
        </w:rPr>
        <w:t>, </w:t>
      </w:r>
      <w:hyperlink r:id="rId38" w:history="1">
        <w:r w:rsidRPr="00B85246">
          <w:rPr>
            <w:rFonts w:ascii="Times New Roman" w:hAnsi="Times New Roman" w:cs="Times New Roman"/>
            <w:color w:val="027ABB"/>
            <w:spacing w:val="-3"/>
          </w:rPr>
          <w:t xml:space="preserve">1973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4 (SCC)</w:t>
        </w:r>
      </w:hyperlink>
      <w:r w:rsidRPr="00B85246">
        <w:rPr>
          <w:rFonts w:ascii="Times New Roman" w:hAnsi="Times New Roman" w:cs="Times New Roman"/>
          <w:color w:val="000000"/>
          <w:spacing w:val="-3"/>
        </w:rPr>
        <w:t>, [1973] S.C.R. 313; </w:t>
      </w:r>
      <w:r w:rsidRPr="00B85246">
        <w:rPr>
          <w:rFonts w:ascii="Times New Roman" w:hAnsi="Times New Roman" w:cs="Times New Roman"/>
          <w:i/>
          <w:iCs/>
          <w:color w:val="000000"/>
          <w:spacing w:val="-3"/>
        </w:rPr>
        <w:t>United States v. Santa Fe Pacific R. Co.</w:t>
      </w:r>
      <w:r w:rsidRPr="00B85246">
        <w:rPr>
          <w:rFonts w:ascii="Times New Roman" w:hAnsi="Times New Roman" w:cs="Times New Roman"/>
          <w:color w:val="000000"/>
          <w:spacing w:val="-3"/>
        </w:rPr>
        <w:t>, 314 U.S. 339 (1941); </w:t>
      </w:r>
      <w:r w:rsidRPr="00B85246">
        <w:rPr>
          <w:rFonts w:ascii="Times New Roman" w:hAnsi="Times New Roman" w:cs="Times New Roman"/>
          <w:i/>
          <w:iCs/>
          <w:color w:val="000000"/>
          <w:spacing w:val="-3"/>
        </w:rPr>
        <w:t>Johnson v. M</w:t>
      </w:r>
      <w:r w:rsidRPr="00B85246">
        <w:rPr>
          <w:rFonts w:ascii="Times New Roman" w:hAnsi="Times New Roman" w:cs="Times New Roman"/>
          <w:i/>
          <w:iCs/>
          <w:color w:val="000000"/>
          <w:spacing w:val="-3"/>
          <w:vertAlign w:val="superscript"/>
        </w:rPr>
        <w:t>c</w:t>
      </w:r>
      <w:r w:rsidRPr="00B85246">
        <w:rPr>
          <w:rFonts w:ascii="Times New Roman" w:hAnsi="Times New Roman" w:cs="Times New Roman"/>
          <w:i/>
          <w:iCs/>
          <w:color w:val="000000"/>
          <w:spacing w:val="-3"/>
        </w:rPr>
        <w:t>Intosh</w:t>
      </w:r>
      <w:r w:rsidRPr="00B85246">
        <w:rPr>
          <w:rFonts w:ascii="Times New Roman" w:hAnsi="Times New Roman" w:cs="Times New Roman"/>
          <w:color w:val="000000"/>
          <w:spacing w:val="-3"/>
        </w:rPr>
        <w:t>, 21 U.S. (8 Wheat.) 543 (1823); </w:t>
      </w:r>
      <w:r w:rsidRPr="00B85246">
        <w:rPr>
          <w:rFonts w:ascii="Times New Roman" w:hAnsi="Times New Roman" w:cs="Times New Roman"/>
          <w:i/>
          <w:iCs/>
          <w:color w:val="000000"/>
          <w:spacing w:val="-3"/>
        </w:rPr>
        <w:t>Worcester v. State of Georgia</w:t>
      </w:r>
      <w:r w:rsidRPr="00B85246">
        <w:rPr>
          <w:rFonts w:ascii="Times New Roman" w:hAnsi="Times New Roman" w:cs="Times New Roman"/>
          <w:color w:val="000000"/>
          <w:spacing w:val="-3"/>
        </w:rPr>
        <w:t>, 31 U.S. (6 Pet.) 515 (1832); </w:t>
      </w:r>
      <w:r w:rsidRPr="00B85246">
        <w:rPr>
          <w:rFonts w:ascii="Times New Roman" w:hAnsi="Times New Roman" w:cs="Times New Roman"/>
          <w:i/>
          <w:iCs/>
          <w:color w:val="000000"/>
          <w:spacing w:val="-3"/>
        </w:rPr>
        <w:t xml:space="preserve">R. v. </w:t>
      </w:r>
      <w:proofErr w:type="spellStart"/>
      <w:r w:rsidRPr="00B85246">
        <w:rPr>
          <w:rFonts w:ascii="Times New Roman" w:hAnsi="Times New Roman" w:cs="Times New Roman"/>
          <w:i/>
          <w:iCs/>
          <w:color w:val="000000"/>
          <w:spacing w:val="-3"/>
        </w:rPr>
        <w:t>Polchies</w:t>
      </w:r>
      <w:proofErr w:type="spellEnd"/>
      <w:r w:rsidRPr="00B85246">
        <w:rPr>
          <w:rFonts w:ascii="Times New Roman" w:hAnsi="Times New Roman" w:cs="Times New Roman"/>
          <w:i/>
          <w:iCs/>
          <w:color w:val="000000"/>
          <w:spacing w:val="-3"/>
        </w:rPr>
        <w:t xml:space="preserve"> and Paul; R. v. Paul and Paul</w:t>
      </w:r>
      <w:r w:rsidRPr="00B85246">
        <w:rPr>
          <w:rFonts w:ascii="Times New Roman" w:hAnsi="Times New Roman" w:cs="Times New Roman"/>
          <w:color w:val="000000"/>
          <w:spacing w:val="-3"/>
        </w:rPr>
        <w:t> (1982), 43 N.B.R. (2d) 449; </w:t>
      </w:r>
      <w:r w:rsidRPr="00B85246">
        <w:rPr>
          <w:rFonts w:ascii="Times New Roman" w:hAnsi="Times New Roman" w:cs="Times New Roman"/>
          <w:i/>
          <w:iCs/>
          <w:color w:val="000000"/>
          <w:spacing w:val="-3"/>
        </w:rPr>
        <w:t>R. v. George</w:t>
      </w:r>
      <w:r w:rsidRPr="00B85246">
        <w:rPr>
          <w:rFonts w:ascii="Times New Roman" w:hAnsi="Times New Roman" w:cs="Times New Roman"/>
          <w:color w:val="000000"/>
          <w:spacing w:val="-3"/>
        </w:rPr>
        <w:t>, </w:t>
      </w:r>
      <w:hyperlink r:id="rId39" w:history="1">
        <w:r w:rsidRPr="00B85246">
          <w:rPr>
            <w:rFonts w:ascii="Times New Roman" w:hAnsi="Times New Roman" w:cs="Times New Roman"/>
            <w:color w:val="027ABB"/>
            <w:spacing w:val="-3"/>
          </w:rPr>
          <w:t xml:space="preserve">1966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2 (SCC)</w:t>
        </w:r>
      </w:hyperlink>
      <w:r w:rsidRPr="00B85246">
        <w:rPr>
          <w:rFonts w:ascii="Times New Roman" w:hAnsi="Times New Roman" w:cs="Times New Roman"/>
          <w:color w:val="000000"/>
          <w:spacing w:val="-3"/>
        </w:rPr>
        <w:t>, [1966] S.C.R. 267; </w:t>
      </w:r>
      <w:r w:rsidRPr="00B85246">
        <w:rPr>
          <w:rFonts w:ascii="Times New Roman" w:hAnsi="Times New Roman" w:cs="Times New Roman"/>
          <w:i/>
          <w:iCs/>
          <w:color w:val="000000"/>
          <w:spacing w:val="-3"/>
        </w:rPr>
        <w:t xml:space="preserve">R. v. </w:t>
      </w:r>
      <w:proofErr w:type="spellStart"/>
      <w:r w:rsidRPr="00B85246">
        <w:rPr>
          <w:rFonts w:ascii="Times New Roman" w:hAnsi="Times New Roman" w:cs="Times New Roman"/>
          <w:i/>
          <w:iCs/>
          <w:color w:val="000000"/>
          <w:spacing w:val="-3"/>
        </w:rPr>
        <w:t>Sikyea</w:t>
      </w:r>
      <w:proofErr w:type="spellEnd"/>
      <w:r w:rsidRPr="00B85246">
        <w:rPr>
          <w:rFonts w:ascii="Times New Roman" w:hAnsi="Times New Roman" w:cs="Times New Roman"/>
          <w:color w:val="000000"/>
          <w:spacing w:val="-3"/>
        </w:rPr>
        <w:t> (1964), </w:t>
      </w:r>
      <w:hyperlink r:id="rId40" w:history="1">
        <w:r w:rsidRPr="00B85246">
          <w:rPr>
            <w:rFonts w:ascii="Times New Roman" w:hAnsi="Times New Roman" w:cs="Times New Roman"/>
            <w:color w:val="027ABB"/>
            <w:spacing w:val="-3"/>
          </w:rPr>
          <w:t xml:space="preserve">1964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510 (NWT CA)</w:t>
        </w:r>
      </w:hyperlink>
      <w:r w:rsidRPr="00B85246">
        <w:rPr>
          <w:rFonts w:ascii="Times New Roman" w:hAnsi="Times New Roman" w:cs="Times New Roman"/>
          <w:color w:val="000000"/>
          <w:spacing w:val="-3"/>
        </w:rPr>
        <w:t>, 43 D.L.R. (2d) 150; </w:t>
      </w:r>
      <w:r w:rsidRPr="00B85246">
        <w:rPr>
          <w:rFonts w:ascii="Times New Roman" w:hAnsi="Times New Roman" w:cs="Times New Roman"/>
          <w:i/>
          <w:iCs/>
          <w:color w:val="000000"/>
          <w:spacing w:val="-3"/>
        </w:rPr>
        <w:t xml:space="preserve">Frank v. </w:t>
      </w:r>
      <w:proofErr w:type="gramStart"/>
      <w:r w:rsidRPr="00B85246">
        <w:rPr>
          <w:rFonts w:ascii="Times New Roman" w:hAnsi="Times New Roman" w:cs="Times New Roman"/>
          <w:i/>
          <w:iCs/>
          <w:color w:val="000000"/>
          <w:spacing w:val="-3"/>
        </w:rPr>
        <w:t>The Queen</w:t>
      </w:r>
      <w:r w:rsidRPr="00B85246">
        <w:rPr>
          <w:rFonts w:ascii="Times New Roman" w:hAnsi="Times New Roman" w:cs="Times New Roman"/>
          <w:color w:val="000000"/>
          <w:spacing w:val="-3"/>
        </w:rPr>
        <w:t>, </w:t>
      </w:r>
      <w:hyperlink r:id="rId41" w:history="1">
        <w:r w:rsidRPr="00B85246">
          <w:rPr>
            <w:rFonts w:ascii="Times New Roman" w:hAnsi="Times New Roman" w:cs="Times New Roman"/>
            <w:color w:val="027ABB"/>
            <w:spacing w:val="-3"/>
          </w:rPr>
          <w:t xml:space="preserve">1977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152 (SCC)</w:t>
        </w:r>
      </w:hyperlink>
      <w:r w:rsidRPr="00B85246">
        <w:rPr>
          <w:rFonts w:ascii="Times New Roman" w:hAnsi="Times New Roman" w:cs="Times New Roman"/>
          <w:color w:val="000000"/>
          <w:spacing w:val="-3"/>
        </w:rPr>
        <w:t>, [1978] 1 S.C.R. 95; </w:t>
      </w:r>
      <w:r w:rsidRPr="00B85246">
        <w:rPr>
          <w:rFonts w:ascii="Times New Roman" w:hAnsi="Times New Roman" w:cs="Times New Roman"/>
          <w:i/>
          <w:iCs/>
          <w:color w:val="000000"/>
          <w:spacing w:val="-3"/>
        </w:rPr>
        <w:t>Kruger v.</w:t>
      </w:r>
      <w:proofErr w:type="gramEnd"/>
      <w:r w:rsidRPr="00B85246">
        <w:rPr>
          <w:rFonts w:ascii="Times New Roman" w:hAnsi="Times New Roman" w:cs="Times New Roman"/>
          <w:i/>
          <w:iCs/>
          <w:color w:val="000000"/>
          <w:spacing w:val="-3"/>
        </w:rPr>
        <w:t xml:space="preserve"> The Queen</w:t>
      </w:r>
      <w:r w:rsidRPr="00B85246">
        <w:rPr>
          <w:rFonts w:ascii="Times New Roman" w:hAnsi="Times New Roman" w:cs="Times New Roman"/>
          <w:color w:val="000000"/>
          <w:spacing w:val="-3"/>
        </w:rPr>
        <w:t>, </w:t>
      </w:r>
      <w:hyperlink r:id="rId42" w:history="1">
        <w:r w:rsidRPr="00B85246">
          <w:rPr>
            <w:rFonts w:ascii="Times New Roman" w:hAnsi="Times New Roman" w:cs="Times New Roman"/>
            <w:color w:val="027ABB"/>
            <w:spacing w:val="-3"/>
          </w:rPr>
          <w:t xml:space="preserve">1977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3 (SCC)</w:t>
        </w:r>
      </w:hyperlink>
      <w:r w:rsidRPr="00B85246">
        <w:rPr>
          <w:rFonts w:ascii="Times New Roman" w:hAnsi="Times New Roman" w:cs="Times New Roman"/>
          <w:color w:val="000000"/>
          <w:spacing w:val="-3"/>
        </w:rPr>
        <w:t>, [1978] 1 S.C.R. 104; </w:t>
      </w:r>
      <w:r w:rsidRPr="00B85246">
        <w:rPr>
          <w:rFonts w:ascii="Times New Roman" w:hAnsi="Times New Roman" w:cs="Times New Roman"/>
          <w:i/>
          <w:iCs/>
          <w:color w:val="000000"/>
          <w:spacing w:val="-3"/>
        </w:rPr>
        <w:t>R. v.</w:t>
      </w:r>
      <w:r w:rsidRPr="00B85246">
        <w:rPr>
          <w:rFonts w:ascii="Times New Roman" w:hAnsi="Times New Roman" w:cs="Times New Roman"/>
          <w:color w:val="000000"/>
          <w:spacing w:val="-3"/>
        </w:rPr>
        <w:t> </w:t>
      </w:r>
      <w:r w:rsidRPr="00B85246">
        <w:rPr>
          <w:rFonts w:ascii="Times New Roman" w:hAnsi="Times New Roman" w:cs="Times New Roman"/>
          <w:i/>
          <w:iCs/>
          <w:color w:val="000000"/>
          <w:spacing w:val="-3"/>
        </w:rPr>
        <w:t xml:space="preserve">Paul and </w:t>
      </w:r>
      <w:proofErr w:type="spellStart"/>
      <w:r w:rsidRPr="00B85246">
        <w:rPr>
          <w:rFonts w:ascii="Times New Roman" w:hAnsi="Times New Roman" w:cs="Times New Roman"/>
          <w:i/>
          <w:iCs/>
          <w:color w:val="000000"/>
          <w:spacing w:val="-3"/>
        </w:rPr>
        <w:t>Copage</w:t>
      </w:r>
      <w:proofErr w:type="spellEnd"/>
      <w:r w:rsidRPr="00B85246">
        <w:rPr>
          <w:rFonts w:ascii="Times New Roman" w:hAnsi="Times New Roman" w:cs="Times New Roman"/>
          <w:color w:val="000000"/>
          <w:spacing w:val="-3"/>
        </w:rPr>
        <w:t> (1977), 24 N.S.R. (2d) 313; </w:t>
      </w:r>
      <w:r w:rsidRPr="00B85246">
        <w:rPr>
          <w:rFonts w:ascii="Times New Roman" w:hAnsi="Times New Roman" w:cs="Times New Roman"/>
          <w:i/>
          <w:iCs/>
          <w:color w:val="000000"/>
          <w:spacing w:val="-3"/>
        </w:rPr>
        <w:t xml:space="preserve">R. v. </w:t>
      </w:r>
      <w:proofErr w:type="spellStart"/>
      <w:r w:rsidRPr="00B85246">
        <w:rPr>
          <w:rFonts w:ascii="Times New Roman" w:hAnsi="Times New Roman" w:cs="Times New Roman"/>
          <w:i/>
          <w:iCs/>
          <w:color w:val="000000"/>
          <w:spacing w:val="-3"/>
        </w:rPr>
        <w:t>Batisse</w:t>
      </w:r>
      <w:proofErr w:type="spellEnd"/>
      <w:r w:rsidRPr="00B85246">
        <w:rPr>
          <w:rFonts w:ascii="Times New Roman" w:hAnsi="Times New Roman" w:cs="Times New Roman"/>
          <w:color w:val="000000"/>
          <w:spacing w:val="-3"/>
        </w:rPr>
        <w:t> (1978), </w:t>
      </w:r>
      <w:hyperlink r:id="rId43" w:history="1">
        <w:r w:rsidRPr="00B85246">
          <w:rPr>
            <w:rFonts w:ascii="Times New Roman" w:hAnsi="Times New Roman" w:cs="Times New Roman"/>
            <w:color w:val="027ABB"/>
            <w:spacing w:val="-3"/>
          </w:rPr>
          <w:t xml:space="preserve">1978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1640 (ON SC)</w:t>
        </w:r>
      </w:hyperlink>
      <w:r w:rsidRPr="00B85246">
        <w:rPr>
          <w:rFonts w:ascii="Times New Roman" w:hAnsi="Times New Roman" w:cs="Times New Roman"/>
          <w:color w:val="000000"/>
          <w:spacing w:val="-3"/>
        </w:rPr>
        <w:t>, 19 O.R. (2d) 145; </w:t>
      </w:r>
      <w:r w:rsidRPr="00B85246">
        <w:rPr>
          <w:rFonts w:ascii="Times New Roman" w:hAnsi="Times New Roman" w:cs="Times New Roman"/>
          <w:i/>
          <w:iCs/>
          <w:color w:val="000000"/>
          <w:spacing w:val="-3"/>
        </w:rPr>
        <w:t>R. v. Taylor and Williams</w:t>
      </w:r>
      <w:r w:rsidRPr="00B85246">
        <w:rPr>
          <w:rFonts w:ascii="Times New Roman" w:hAnsi="Times New Roman" w:cs="Times New Roman"/>
          <w:color w:val="000000"/>
          <w:spacing w:val="-3"/>
        </w:rPr>
        <w:t> (1982), </w:t>
      </w:r>
      <w:hyperlink r:id="rId44" w:history="1">
        <w:r w:rsidRPr="00B85246">
          <w:rPr>
            <w:rFonts w:ascii="Times New Roman" w:hAnsi="Times New Roman" w:cs="Times New Roman"/>
            <w:color w:val="027ABB"/>
            <w:spacing w:val="-3"/>
          </w:rPr>
          <w:t xml:space="preserve">1981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1657 (ON CA)</w:t>
        </w:r>
      </w:hyperlink>
      <w:r w:rsidRPr="00B85246">
        <w:rPr>
          <w:rFonts w:ascii="Times New Roman" w:hAnsi="Times New Roman" w:cs="Times New Roman"/>
          <w:color w:val="000000"/>
          <w:spacing w:val="-3"/>
        </w:rPr>
        <w:t>, 34 O.R. (2d) 360;</w:t>
      </w:r>
      <w:r w:rsidRPr="00B85246">
        <w:rPr>
          <w:rFonts w:ascii="Times New Roman" w:hAnsi="Times New Roman" w:cs="Times New Roman"/>
          <w:i/>
          <w:iCs/>
          <w:color w:val="000000"/>
          <w:spacing w:val="-3"/>
        </w:rPr>
        <w:t>R. v. Moses</w:t>
      </w:r>
      <w:r w:rsidRPr="00B85246">
        <w:rPr>
          <w:rFonts w:ascii="Times New Roman" w:hAnsi="Times New Roman" w:cs="Times New Roman"/>
          <w:color w:val="000000"/>
          <w:spacing w:val="-3"/>
        </w:rPr>
        <w:t> (1969), </w:t>
      </w:r>
      <w:hyperlink r:id="rId45" w:history="1">
        <w:r w:rsidRPr="00B85246">
          <w:rPr>
            <w:rFonts w:ascii="Times New Roman" w:hAnsi="Times New Roman" w:cs="Times New Roman"/>
            <w:color w:val="027ABB"/>
            <w:spacing w:val="-3"/>
          </w:rPr>
          <w:t xml:space="preserve">1969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384 (ON SC)</w:t>
        </w:r>
      </w:hyperlink>
      <w:r w:rsidRPr="00B85246">
        <w:rPr>
          <w:rFonts w:ascii="Times New Roman" w:hAnsi="Times New Roman" w:cs="Times New Roman"/>
          <w:color w:val="000000"/>
          <w:spacing w:val="-3"/>
        </w:rPr>
        <w:t>, 13 D.L.R. (3d) 50; </w:t>
      </w:r>
      <w:r w:rsidRPr="00B85246">
        <w:rPr>
          <w:rFonts w:ascii="Times New Roman" w:hAnsi="Times New Roman" w:cs="Times New Roman"/>
          <w:i/>
          <w:iCs/>
          <w:color w:val="000000"/>
          <w:spacing w:val="-3"/>
        </w:rPr>
        <w:t xml:space="preserve">R. v. </w:t>
      </w:r>
      <w:proofErr w:type="spellStart"/>
      <w:r w:rsidRPr="00B85246">
        <w:rPr>
          <w:rFonts w:ascii="Times New Roman" w:hAnsi="Times New Roman" w:cs="Times New Roman"/>
          <w:i/>
          <w:iCs/>
          <w:color w:val="000000"/>
          <w:spacing w:val="-3"/>
        </w:rPr>
        <w:t>Penasse</w:t>
      </w:r>
      <w:proofErr w:type="spellEnd"/>
      <w:r w:rsidRPr="00B85246">
        <w:rPr>
          <w:rFonts w:ascii="Times New Roman" w:hAnsi="Times New Roman" w:cs="Times New Roman"/>
          <w:i/>
          <w:iCs/>
          <w:color w:val="000000"/>
          <w:spacing w:val="-3"/>
        </w:rPr>
        <w:t xml:space="preserve"> and McLeod</w:t>
      </w:r>
      <w:r w:rsidRPr="00B85246">
        <w:rPr>
          <w:rFonts w:ascii="Times New Roman" w:hAnsi="Times New Roman" w:cs="Times New Roman"/>
          <w:color w:val="000000"/>
          <w:spacing w:val="-3"/>
        </w:rPr>
        <w:t> (1971), 8 C.C.C. (2d) 569; </w:t>
      </w:r>
      <w:proofErr w:type="spellStart"/>
      <w:r w:rsidRPr="00B85246">
        <w:rPr>
          <w:rFonts w:ascii="Times New Roman" w:hAnsi="Times New Roman" w:cs="Times New Roman"/>
          <w:i/>
          <w:iCs/>
          <w:color w:val="000000"/>
          <w:spacing w:val="-3"/>
        </w:rPr>
        <w:t>Cheeco</w:t>
      </w:r>
      <w:proofErr w:type="spellEnd"/>
      <w:r w:rsidRPr="00B85246">
        <w:rPr>
          <w:rFonts w:ascii="Times New Roman" w:hAnsi="Times New Roman" w:cs="Times New Roman"/>
          <w:i/>
          <w:iCs/>
          <w:color w:val="000000"/>
          <w:spacing w:val="-3"/>
        </w:rPr>
        <w:t xml:space="preserve"> v. </w:t>
      </w:r>
      <w:proofErr w:type="gramStart"/>
      <w:r w:rsidRPr="00B85246">
        <w:rPr>
          <w:rFonts w:ascii="Times New Roman" w:hAnsi="Times New Roman" w:cs="Times New Roman"/>
          <w:i/>
          <w:iCs/>
          <w:color w:val="000000"/>
          <w:spacing w:val="-3"/>
        </w:rPr>
        <w:t>The Queen</w:t>
      </w:r>
      <w:r w:rsidRPr="00B85246">
        <w:rPr>
          <w:rFonts w:ascii="Times New Roman" w:hAnsi="Times New Roman" w:cs="Times New Roman"/>
          <w:color w:val="000000"/>
          <w:spacing w:val="-3"/>
        </w:rPr>
        <w:t>, [1981] 3 C.N.L.R. 45, referred to; </w:t>
      </w:r>
      <w:r w:rsidRPr="00B85246">
        <w:rPr>
          <w:rFonts w:ascii="Times New Roman" w:hAnsi="Times New Roman" w:cs="Times New Roman"/>
          <w:i/>
          <w:iCs/>
          <w:color w:val="000000"/>
          <w:spacing w:val="-3"/>
        </w:rPr>
        <w:t>R. v.</w:t>
      </w:r>
      <w:r w:rsidRPr="00B85246">
        <w:rPr>
          <w:rFonts w:ascii="Times New Roman" w:hAnsi="Times New Roman" w:cs="Times New Roman"/>
          <w:color w:val="000000"/>
          <w:spacing w:val="-3"/>
        </w:rPr>
        <w:t> </w:t>
      </w:r>
      <w:proofErr w:type="spellStart"/>
      <w:r w:rsidRPr="00B85246">
        <w:rPr>
          <w:rFonts w:ascii="Times New Roman" w:hAnsi="Times New Roman" w:cs="Times New Roman"/>
          <w:i/>
          <w:iCs/>
          <w:color w:val="000000"/>
          <w:spacing w:val="-3"/>
        </w:rPr>
        <w:t>Mousseau</w:t>
      </w:r>
      <w:proofErr w:type="spellEnd"/>
      <w:r w:rsidRPr="00B85246">
        <w:rPr>
          <w:rFonts w:ascii="Times New Roman" w:hAnsi="Times New Roman" w:cs="Times New Roman"/>
          <w:color w:val="000000"/>
          <w:spacing w:val="-3"/>
        </w:rPr>
        <w:t>, </w:t>
      </w:r>
      <w:hyperlink r:id="rId46" w:history="1">
        <w:r w:rsidRPr="00B85246">
          <w:rPr>
            <w:rFonts w:ascii="Times New Roman" w:hAnsi="Times New Roman" w:cs="Times New Roman"/>
            <w:color w:val="027ABB"/>
            <w:spacing w:val="-3"/>
          </w:rPr>
          <w:t xml:space="preserve">1980 </w:t>
        </w:r>
        <w:proofErr w:type="spellStart"/>
        <w:r w:rsidRPr="00B85246">
          <w:rPr>
            <w:rFonts w:ascii="Times New Roman" w:hAnsi="Times New Roman" w:cs="Times New Roman"/>
            <w:color w:val="027ABB"/>
            <w:spacing w:val="-3"/>
          </w:rPr>
          <w:t>CanLII</w:t>
        </w:r>
        <w:proofErr w:type="spellEnd"/>
        <w:r w:rsidRPr="00B85246">
          <w:rPr>
            <w:rFonts w:ascii="Times New Roman" w:hAnsi="Times New Roman" w:cs="Times New Roman"/>
            <w:color w:val="027ABB"/>
            <w:spacing w:val="-3"/>
          </w:rPr>
          <w:t xml:space="preserve"> 194 (SCC)</w:t>
        </w:r>
      </w:hyperlink>
      <w:r w:rsidRPr="00B85246">
        <w:rPr>
          <w:rFonts w:ascii="Times New Roman" w:hAnsi="Times New Roman" w:cs="Times New Roman"/>
          <w:color w:val="000000"/>
          <w:spacing w:val="-3"/>
        </w:rPr>
        <w:t>, [1980] 2 S.C.R. 89, distinguished.</w:t>
      </w:r>
      <w:proofErr w:type="gramEnd"/>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b/>
          <w:bCs/>
          <w:color w:val="000000"/>
          <w:spacing w:val="-3"/>
        </w:rPr>
        <w:t>Statutes and Regulations Cited</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ind w:left="612" w:hanging="612"/>
        <w:jc w:val="both"/>
        <w:rPr>
          <w:rFonts w:ascii="Courier New" w:hAnsi="Courier New" w:cs="Courier New"/>
          <w:color w:val="000000"/>
          <w:sz w:val="20"/>
          <w:szCs w:val="20"/>
        </w:rPr>
      </w:pPr>
      <w:hyperlink r:id="rId47" w:history="1">
        <w:proofErr w:type="gramStart"/>
        <w:r w:rsidRPr="00B85246">
          <w:rPr>
            <w:rFonts w:ascii="Times New Roman" w:hAnsi="Times New Roman" w:cs="Times New Roman"/>
            <w:i/>
            <w:iCs/>
            <w:color w:val="027ABB"/>
            <w:spacing w:val="-3"/>
          </w:rPr>
          <w:t>Constitution Act, 1867</w:t>
        </w:r>
      </w:hyperlink>
      <w:r w:rsidRPr="00B85246">
        <w:rPr>
          <w:rFonts w:ascii="Times New Roman" w:hAnsi="Times New Roman" w:cs="Times New Roman"/>
          <w:color w:val="000000"/>
          <w:spacing w:val="-3"/>
        </w:rPr>
        <w:t>, </w:t>
      </w:r>
      <w:hyperlink r:id="rId48" w:anchor="sec91subsec24_smooth" w:history="1">
        <w:r w:rsidRPr="00B85246">
          <w:rPr>
            <w:rFonts w:ascii="Times New Roman" w:hAnsi="Times New Roman" w:cs="Times New Roman"/>
            <w:color w:val="027ABB"/>
            <w:spacing w:val="-3"/>
          </w:rPr>
          <w:t>ss. 91(24)</w:t>
        </w:r>
      </w:hyperlink>
      <w:r w:rsidRPr="00B85246">
        <w:rPr>
          <w:rFonts w:ascii="Times New Roman" w:hAnsi="Times New Roman" w:cs="Times New Roman"/>
          <w:color w:val="000000"/>
          <w:spacing w:val="-3"/>
        </w:rPr>
        <w:t>, </w:t>
      </w:r>
      <w:hyperlink r:id="rId49" w:anchor="sec92subsec13_smooth" w:history="1">
        <w:r w:rsidRPr="00B85246">
          <w:rPr>
            <w:rFonts w:ascii="Times New Roman" w:hAnsi="Times New Roman" w:cs="Times New Roman"/>
            <w:color w:val="027ABB"/>
            <w:spacing w:val="-3"/>
          </w:rPr>
          <w:t>92(13)</w:t>
        </w:r>
      </w:hyperlink>
      <w:r w:rsidRPr="00B85246">
        <w:rPr>
          <w:rFonts w:ascii="Times New Roman" w:hAnsi="Times New Roman" w:cs="Times New Roman"/>
          <w:color w:val="000000"/>
          <w:spacing w:val="-3"/>
        </w:rPr>
        <w:t>, </w:t>
      </w:r>
      <w:hyperlink r:id="rId50" w:anchor="sec92subsec16_smooth" w:history="1">
        <w:r w:rsidRPr="00B85246">
          <w:rPr>
            <w:rFonts w:ascii="Times New Roman" w:hAnsi="Times New Roman" w:cs="Times New Roman"/>
            <w:color w:val="027ABB"/>
            <w:spacing w:val="-3"/>
          </w:rPr>
          <w:t>(16)</w:t>
        </w:r>
      </w:hyperlink>
      <w:r w:rsidRPr="00B85246">
        <w:rPr>
          <w:rFonts w:ascii="Times New Roman" w:hAnsi="Times New Roman" w:cs="Times New Roman"/>
          <w:color w:val="000000"/>
          <w:spacing w:val="-3"/>
        </w:rPr>
        <w:t>.</w:t>
      </w:r>
      <w:proofErr w:type="gramEnd"/>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ind w:left="612" w:hanging="612"/>
        <w:jc w:val="both"/>
        <w:rPr>
          <w:rFonts w:ascii="Courier New" w:hAnsi="Courier New" w:cs="Courier New"/>
          <w:color w:val="000000"/>
          <w:sz w:val="20"/>
          <w:szCs w:val="20"/>
        </w:rPr>
      </w:pPr>
      <w:hyperlink r:id="rId51" w:history="1">
        <w:r w:rsidRPr="00B85246">
          <w:rPr>
            <w:rFonts w:ascii="Times New Roman" w:hAnsi="Times New Roman" w:cs="Times New Roman"/>
            <w:i/>
            <w:iCs/>
            <w:color w:val="027ABB"/>
            <w:spacing w:val="-3"/>
          </w:rPr>
          <w:t>Constitution Act, 1982</w:t>
        </w:r>
      </w:hyperlink>
      <w:r w:rsidRPr="00B85246">
        <w:rPr>
          <w:rFonts w:ascii="Times New Roman" w:hAnsi="Times New Roman" w:cs="Times New Roman"/>
          <w:color w:val="000000"/>
          <w:spacing w:val="-3"/>
        </w:rPr>
        <w:t>, </w:t>
      </w:r>
      <w:hyperlink r:id="rId52" w:anchor="sec35_smooth" w:history="1">
        <w:r w:rsidRPr="00B85246">
          <w:rPr>
            <w:rFonts w:ascii="Times New Roman" w:hAnsi="Times New Roman" w:cs="Times New Roman"/>
            <w:color w:val="027ABB"/>
            <w:spacing w:val="-3"/>
          </w:rPr>
          <w:t>s. 35</w:t>
        </w:r>
      </w:hyperlink>
      <w:r w:rsidRPr="00B85246">
        <w:rPr>
          <w:rFonts w:ascii="Times New Roman" w:hAnsi="Times New Roman" w:cs="Times New Roman"/>
          <w:color w:val="000000"/>
          <w:spacing w:val="-3"/>
        </w:rPr>
        <w:t>.</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ind w:left="612" w:hanging="612"/>
        <w:jc w:val="both"/>
        <w:rPr>
          <w:rFonts w:ascii="Courier New" w:hAnsi="Courier New" w:cs="Courier New"/>
          <w:color w:val="000000"/>
          <w:sz w:val="20"/>
          <w:szCs w:val="20"/>
        </w:rPr>
      </w:pPr>
      <w:r w:rsidRPr="00B85246">
        <w:rPr>
          <w:rFonts w:ascii="Times New Roman" w:hAnsi="Times New Roman" w:cs="Times New Roman"/>
          <w:i/>
          <w:iCs/>
          <w:color w:val="000000"/>
          <w:spacing w:val="-3"/>
        </w:rPr>
        <w:t>Indian Act</w:t>
      </w:r>
      <w:r w:rsidRPr="00B85246">
        <w:rPr>
          <w:rFonts w:ascii="Times New Roman" w:hAnsi="Times New Roman" w:cs="Times New Roman"/>
          <w:color w:val="000000"/>
          <w:spacing w:val="-3"/>
        </w:rPr>
        <w:t>, R.S.C. 1970, c. I</w:t>
      </w:r>
      <w:r w:rsidRPr="00B85246">
        <w:rPr>
          <w:rFonts w:ascii="Times New Roman" w:hAnsi="Times New Roman" w:cs="Times New Roman"/>
          <w:color w:val="000000"/>
          <w:spacing w:val="-3"/>
        </w:rPr>
        <w:noBreakHyphen/>
        <w:t>6, s. 88.</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B85246" w:rsidRPr="00B85246" w:rsidRDefault="00B85246" w:rsidP="00B85246">
      <w:pPr>
        <w:shd w:val="clear" w:color="auto" w:fill="FFFFFF"/>
        <w:ind w:left="612" w:hanging="612"/>
        <w:jc w:val="both"/>
        <w:rPr>
          <w:rFonts w:ascii="Courier New" w:hAnsi="Courier New" w:cs="Courier New"/>
          <w:color w:val="000000"/>
          <w:sz w:val="20"/>
          <w:szCs w:val="20"/>
        </w:rPr>
      </w:pPr>
      <w:r w:rsidRPr="00B85246">
        <w:rPr>
          <w:rFonts w:ascii="Times New Roman" w:hAnsi="Times New Roman" w:cs="Times New Roman"/>
          <w:i/>
          <w:iCs/>
          <w:color w:val="000000"/>
          <w:spacing w:val="-3"/>
        </w:rPr>
        <w:t>Lands and Forests Act</w:t>
      </w:r>
      <w:r w:rsidRPr="00B85246">
        <w:rPr>
          <w:rFonts w:ascii="Times New Roman" w:hAnsi="Times New Roman" w:cs="Times New Roman"/>
          <w:color w:val="000000"/>
          <w:spacing w:val="-3"/>
        </w:rPr>
        <w:t>, R.S.N.S. 1967, c. 163, s. 150.</w:t>
      </w:r>
    </w:p>
    <w:p w:rsidR="00B85246" w:rsidRPr="00B85246" w:rsidRDefault="00B85246" w:rsidP="00B85246">
      <w:pPr>
        <w:shd w:val="clear" w:color="auto" w:fill="FFFFFF"/>
        <w:jc w:val="both"/>
        <w:rPr>
          <w:rFonts w:ascii="Courier New" w:hAnsi="Courier New" w:cs="Courier New"/>
          <w:color w:val="000000"/>
          <w:sz w:val="20"/>
          <w:szCs w:val="20"/>
        </w:rPr>
      </w:pPr>
      <w:r w:rsidRPr="00B85246">
        <w:rPr>
          <w:rFonts w:ascii="Times New Roman" w:hAnsi="Times New Roman" w:cs="Times New Roman"/>
          <w:color w:val="000000"/>
          <w:spacing w:val="-3"/>
        </w:rPr>
        <w:t> </w:t>
      </w:r>
    </w:p>
    <w:p w:rsidR="00644973" w:rsidRDefault="00644973">
      <w:bookmarkStart w:id="0" w:name="_GoBack"/>
      <w:bookmarkEnd w:id="0"/>
    </w:p>
    <w:sectPr w:rsidR="00644973" w:rsidSect="002B069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01AF"/>
    <w:multiLevelType w:val="multilevel"/>
    <w:tmpl w:val="97D0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46"/>
    <w:rsid w:val="000D5401"/>
    <w:rsid w:val="002B069F"/>
    <w:rsid w:val="004F13EE"/>
    <w:rsid w:val="00644973"/>
    <w:rsid w:val="00B8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453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24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246"/>
    <w:rPr>
      <w:rFonts w:ascii="Times" w:hAnsi="Times"/>
      <w:b/>
      <w:bCs/>
      <w:kern w:val="36"/>
      <w:sz w:val="48"/>
      <w:szCs w:val="48"/>
    </w:rPr>
  </w:style>
  <w:style w:type="character" w:customStyle="1" w:styleId="nowrap">
    <w:name w:val="nowrap"/>
    <w:basedOn w:val="DefaultParagraphFont"/>
    <w:rsid w:val="00B85246"/>
  </w:style>
  <w:style w:type="character" w:customStyle="1" w:styleId="documentstaticurl">
    <w:name w:val="documentstaticurl"/>
    <w:basedOn w:val="DefaultParagraphFont"/>
    <w:rsid w:val="00B85246"/>
  </w:style>
  <w:style w:type="character" w:styleId="Hyperlink">
    <w:name w:val="Hyperlink"/>
    <w:basedOn w:val="DefaultParagraphFont"/>
    <w:uiPriority w:val="99"/>
    <w:semiHidden/>
    <w:unhideWhenUsed/>
    <w:rsid w:val="00B85246"/>
    <w:rPr>
      <w:color w:val="0000FF"/>
      <w:u w:val="single"/>
    </w:rPr>
  </w:style>
  <w:style w:type="character" w:customStyle="1" w:styleId="reflex3-block">
    <w:name w:val="reflex3-block"/>
    <w:basedOn w:val="DefaultParagraphFont"/>
    <w:rsid w:val="00B85246"/>
  </w:style>
  <w:style w:type="character" w:customStyle="1" w:styleId="reflex3-alt">
    <w:name w:val="reflex3-alt"/>
    <w:basedOn w:val="DefaultParagraphFont"/>
    <w:rsid w:val="00B85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24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246"/>
    <w:rPr>
      <w:rFonts w:ascii="Times" w:hAnsi="Times"/>
      <w:b/>
      <w:bCs/>
      <w:kern w:val="36"/>
      <w:sz w:val="48"/>
      <w:szCs w:val="48"/>
    </w:rPr>
  </w:style>
  <w:style w:type="character" w:customStyle="1" w:styleId="nowrap">
    <w:name w:val="nowrap"/>
    <w:basedOn w:val="DefaultParagraphFont"/>
    <w:rsid w:val="00B85246"/>
  </w:style>
  <w:style w:type="character" w:customStyle="1" w:styleId="documentstaticurl">
    <w:name w:val="documentstaticurl"/>
    <w:basedOn w:val="DefaultParagraphFont"/>
    <w:rsid w:val="00B85246"/>
  </w:style>
  <w:style w:type="character" w:styleId="Hyperlink">
    <w:name w:val="Hyperlink"/>
    <w:basedOn w:val="DefaultParagraphFont"/>
    <w:uiPriority w:val="99"/>
    <w:semiHidden/>
    <w:unhideWhenUsed/>
    <w:rsid w:val="00B85246"/>
    <w:rPr>
      <w:color w:val="0000FF"/>
      <w:u w:val="single"/>
    </w:rPr>
  </w:style>
  <w:style w:type="character" w:customStyle="1" w:styleId="reflex3-block">
    <w:name w:val="reflex3-block"/>
    <w:basedOn w:val="DefaultParagraphFont"/>
    <w:rsid w:val="00B85246"/>
  </w:style>
  <w:style w:type="character" w:customStyle="1" w:styleId="reflex3-alt">
    <w:name w:val="reflex3-alt"/>
    <w:basedOn w:val="DefaultParagraphFont"/>
    <w:rsid w:val="00B8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61215">
      <w:bodyDiv w:val="1"/>
      <w:marLeft w:val="0"/>
      <w:marRight w:val="0"/>
      <w:marTop w:val="0"/>
      <w:marBottom w:val="0"/>
      <w:divBdr>
        <w:top w:val="none" w:sz="0" w:space="0" w:color="auto"/>
        <w:left w:val="none" w:sz="0" w:space="0" w:color="auto"/>
        <w:bottom w:val="none" w:sz="0" w:space="0" w:color="auto"/>
        <w:right w:val="none" w:sz="0" w:space="0" w:color="auto"/>
      </w:divBdr>
      <w:divsChild>
        <w:div w:id="1855655846">
          <w:marLeft w:val="0"/>
          <w:marRight w:val="0"/>
          <w:marTop w:val="0"/>
          <w:marBottom w:val="360"/>
          <w:divBdr>
            <w:top w:val="none" w:sz="0" w:space="0" w:color="auto"/>
            <w:left w:val="none" w:sz="0" w:space="0" w:color="auto"/>
            <w:bottom w:val="none" w:sz="0" w:space="0" w:color="auto"/>
            <w:right w:val="none" w:sz="0" w:space="0" w:color="auto"/>
          </w:divBdr>
          <w:divsChild>
            <w:div w:id="807019465">
              <w:marLeft w:val="0"/>
              <w:marRight w:val="0"/>
              <w:marTop w:val="480"/>
              <w:marBottom w:val="0"/>
              <w:divBdr>
                <w:top w:val="none" w:sz="0" w:space="0" w:color="auto"/>
                <w:left w:val="none" w:sz="0" w:space="0" w:color="auto"/>
                <w:bottom w:val="single" w:sz="6" w:space="0" w:color="000000"/>
                <w:right w:val="none" w:sz="0" w:space="0" w:color="auto"/>
              </w:divBdr>
              <w:divsChild>
                <w:div w:id="1274169464">
                  <w:marLeft w:val="0"/>
                  <w:marRight w:val="0"/>
                  <w:marTop w:val="0"/>
                  <w:marBottom w:val="0"/>
                  <w:divBdr>
                    <w:top w:val="none" w:sz="0" w:space="0" w:color="auto"/>
                    <w:left w:val="none" w:sz="0" w:space="0" w:color="auto"/>
                    <w:bottom w:val="none" w:sz="0" w:space="0" w:color="auto"/>
                    <w:right w:val="none" w:sz="0" w:space="0" w:color="auto"/>
                  </w:divBdr>
                  <w:divsChild>
                    <w:div w:id="365524622">
                      <w:marLeft w:val="0"/>
                      <w:marRight w:val="0"/>
                      <w:marTop w:val="0"/>
                      <w:marBottom w:val="0"/>
                      <w:divBdr>
                        <w:top w:val="none" w:sz="0" w:space="0" w:color="auto"/>
                        <w:left w:val="none" w:sz="0" w:space="0" w:color="auto"/>
                        <w:bottom w:val="none" w:sz="0" w:space="0" w:color="auto"/>
                        <w:right w:val="none" w:sz="0" w:space="0" w:color="auto"/>
                      </w:divBdr>
                      <w:divsChild>
                        <w:div w:id="1459254704">
                          <w:marLeft w:val="0"/>
                          <w:marRight w:val="0"/>
                          <w:marTop w:val="0"/>
                          <w:marBottom w:val="0"/>
                          <w:divBdr>
                            <w:top w:val="none" w:sz="0" w:space="0" w:color="auto"/>
                            <w:left w:val="none" w:sz="0" w:space="0" w:color="auto"/>
                            <w:bottom w:val="none" w:sz="0" w:space="0" w:color="auto"/>
                            <w:right w:val="none" w:sz="0" w:space="0" w:color="auto"/>
                          </w:divBdr>
                          <w:divsChild>
                            <w:div w:id="1158764432">
                              <w:marLeft w:val="0"/>
                              <w:marRight w:val="0"/>
                              <w:marTop w:val="180"/>
                              <w:marBottom w:val="360"/>
                              <w:divBdr>
                                <w:top w:val="none" w:sz="0" w:space="0" w:color="auto"/>
                                <w:left w:val="none" w:sz="0" w:space="0" w:color="auto"/>
                                <w:bottom w:val="none" w:sz="0" w:space="0" w:color="auto"/>
                                <w:right w:val="none" w:sz="0" w:space="0" w:color="auto"/>
                              </w:divBdr>
                              <w:divsChild>
                                <w:div w:id="2131437600">
                                  <w:marLeft w:val="0"/>
                                  <w:marRight w:val="83"/>
                                  <w:marTop w:val="0"/>
                                  <w:marBottom w:val="0"/>
                                  <w:divBdr>
                                    <w:top w:val="single" w:sz="6" w:space="2" w:color="D1D2D3"/>
                                    <w:left w:val="single" w:sz="6" w:space="4" w:color="D1D2D3"/>
                                    <w:bottom w:val="single" w:sz="6" w:space="2" w:color="D1D2D3"/>
                                    <w:right w:val="single" w:sz="6" w:space="4" w:color="D1D2D3"/>
                                  </w:divBdr>
                                  <w:divsChild>
                                    <w:div w:id="728772521">
                                      <w:marLeft w:val="0"/>
                                      <w:marRight w:val="0"/>
                                      <w:marTop w:val="0"/>
                                      <w:marBottom w:val="0"/>
                                      <w:divBdr>
                                        <w:top w:val="none" w:sz="0" w:space="0" w:color="auto"/>
                                        <w:left w:val="none" w:sz="0" w:space="0" w:color="auto"/>
                                        <w:bottom w:val="none" w:sz="0" w:space="0" w:color="auto"/>
                                        <w:right w:val="none" w:sz="0" w:space="0" w:color="auto"/>
                                      </w:divBdr>
                                    </w:div>
                                  </w:divsChild>
                                </w:div>
                                <w:div w:id="199713228">
                                  <w:marLeft w:val="0"/>
                                  <w:marRight w:val="83"/>
                                  <w:marTop w:val="0"/>
                                  <w:marBottom w:val="0"/>
                                  <w:divBdr>
                                    <w:top w:val="single" w:sz="6" w:space="2" w:color="D1D2D3"/>
                                    <w:left w:val="single" w:sz="6" w:space="4" w:color="D1D2D3"/>
                                    <w:bottom w:val="single" w:sz="6" w:space="2" w:color="D1D2D3"/>
                                    <w:right w:val="single" w:sz="6" w:space="4" w:color="D1D2D3"/>
                                  </w:divBdr>
                                  <w:divsChild>
                                    <w:div w:id="1639337993">
                                      <w:marLeft w:val="0"/>
                                      <w:marRight w:val="0"/>
                                      <w:marTop w:val="0"/>
                                      <w:marBottom w:val="0"/>
                                      <w:divBdr>
                                        <w:top w:val="none" w:sz="0" w:space="0" w:color="auto"/>
                                        <w:left w:val="none" w:sz="0" w:space="0" w:color="auto"/>
                                        <w:bottom w:val="none" w:sz="0" w:space="0" w:color="auto"/>
                                        <w:right w:val="none" w:sz="0" w:space="0" w:color="auto"/>
                                      </w:divBdr>
                                    </w:div>
                                  </w:divsChild>
                                </w:div>
                                <w:div w:id="1164123326">
                                  <w:marLeft w:val="0"/>
                                  <w:marRight w:val="83"/>
                                  <w:marTop w:val="0"/>
                                  <w:marBottom w:val="0"/>
                                  <w:divBdr>
                                    <w:top w:val="single" w:sz="6" w:space="2" w:color="D1D2D3"/>
                                    <w:left w:val="single" w:sz="6" w:space="4" w:color="D1D2D3"/>
                                    <w:bottom w:val="single" w:sz="6" w:space="2" w:color="D1D2D3"/>
                                    <w:right w:val="single" w:sz="6" w:space="4" w:color="D1D2D3"/>
                                  </w:divBdr>
                                  <w:divsChild>
                                    <w:div w:id="3017437">
                                      <w:marLeft w:val="0"/>
                                      <w:marRight w:val="0"/>
                                      <w:marTop w:val="0"/>
                                      <w:marBottom w:val="0"/>
                                      <w:divBdr>
                                        <w:top w:val="none" w:sz="0" w:space="0" w:color="auto"/>
                                        <w:left w:val="none" w:sz="0" w:space="0" w:color="auto"/>
                                        <w:bottom w:val="none" w:sz="0" w:space="0" w:color="auto"/>
                                        <w:right w:val="none" w:sz="0" w:space="0" w:color="auto"/>
                                      </w:divBdr>
                                    </w:div>
                                  </w:divsChild>
                                </w:div>
                                <w:div w:id="1451120154">
                                  <w:marLeft w:val="0"/>
                                  <w:marRight w:val="0"/>
                                  <w:marTop w:val="0"/>
                                  <w:marBottom w:val="0"/>
                                  <w:divBdr>
                                    <w:top w:val="single" w:sz="6" w:space="2" w:color="307B9A"/>
                                    <w:left w:val="single" w:sz="6" w:space="4" w:color="307B9A"/>
                                    <w:bottom w:val="single" w:sz="6" w:space="2" w:color="307B9A"/>
                                    <w:right w:val="single" w:sz="6" w:space="4" w:color="307B9A"/>
                                  </w:divBdr>
                                  <w:divsChild>
                                    <w:div w:id="6465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955396">
          <w:marLeft w:val="0"/>
          <w:marRight w:val="0"/>
          <w:marTop w:val="0"/>
          <w:marBottom w:val="0"/>
          <w:divBdr>
            <w:top w:val="none" w:sz="0" w:space="0" w:color="auto"/>
            <w:left w:val="none" w:sz="0" w:space="0" w:color="auto"/>
            <w:bottom w:val="none" w:sz="0" w:space="0" w:color="auto"/>
            <w:right w:val="none" w:sz="0" w:space="0" w:color="auto"/>
          </w:divBdr>
          <w:divsChild>
            <w:div w:id="13002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qc/laws/stat/rsq-c-t-9/latest/rsq-c-t-9.html" TargetMode="External"/><Relationship Id="rId14" Type="http://schemas.openxmlformats.org/officeDocument/2006/relationships/hyperlink" Target="https://www.canlii.org/en/ca/laws/stat/rsc-1985-c-i-5/latest/rsc-1985-c-i-5.html" TargetMode="External"/><Relationship Id="rId15" Type="http://schemas.openxmlformats.org/officeDocument/2006/relationships/hyperlink" Target="https://www.canlii.org/en/ca/laws/stat/rsc-1985-c-i-5/latest/rsc-1985-c-i-5.html" TargetMode="External"/><Relationship Id="rId16" Type="http://schemas.openxmlformats.org/officeDocument/2006/relationships/hyperlink" Target="https://www.canlii.org/en/qc/laws/stat/rsq-c-t-9/latest/rsq-c-t-9.html" TargetMode="External"/><Relationship Id="rId17" Type="http://schemas.openxmlformats.org/officeDocument/2006/relationships/hyperlink" Target="https://www.canlii.org/en/ca/laws/stat/rsc-1985-c-i-5/latest/rsc-1985-c-i-5.html" TargetMode="External"/><Relationship Id="rId18" Type="http://schemas.openxmlformats.org/officeDocument/2006/relationships/hyperlink" Target="https://www.canlii.org/en/ca/laws/stat/rsc-1985-c-i-5/latest/rsc-1985-c-i-5.html" TargetMode="External"/><Relationship Id="rId19" Type="http://schemas.openxmlformats.org/officeDocument/2006/relationships/hyperlink" Target="https://www.canlii.org/en/ca/laws/stat/rsc-1985-c-i-5/latest/rsc-1985-c-i-5.html" TargetMode="External"/><Relationship Id="rId50" Type="http://schemas.openxmlformats.org/officeDocument/2006/relationships/hyperlink" Target="https://www.canlii.org/en/ca/laws/stat/30---31-vict-c-3/latest/30---31-vict-c-3.html" TargetMode="External"/><Relationship Id="rId51" Type="http://schemas.openxmlformats.org/officeDocument/2006/relationships/hyperlink" Target="https://www.canlii.org/en/ca/laws/stat/schedule-b-to-the-canada-act-1982-uk-1982-c-11/latest/schedule-b-to-the-canada-act-1982-uk-1982-c-11.html" TargetMode="External"/><Relationship Id="rId52" Type="http://schemas.openxmlformats.org/officeDocument/2006/relationships/hyperlink" Target="https://www.canlii.org/en/ca/laws/stat/schedule-b-to-the-canada-act-1982-uk-1982-c-11/latest/schedule-b-to-the-canada-act-1982-uk-1982-c-11.html"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www.canlii.org/en/nt/ntca/doc/1964/1964canlii510/1964canlii510.html" TargetMode="External"/><Relationship Id="rId41" Type="http://schemas.openxmlformats.org/officeDocument/2006/relationships/hyperlink" Target="https://www.canlii.org/en/ca/scc/doc/1977/1977canlii152/1977canlii152.html" TargetMode="External"/><Relationship Id="rId42" Type="http://schemas.openxmlformats.org/officeDocument/2006/relationships/hyperlink" Target="https://www.canlii.org/en/ca/scc/doc/1977/1977canlii3/1977canlii3.html" TargetMode="External"/><Relationship Id="rId43" Type="http://schemas.openxmlformats.org/officeDocument/2006/relationships/hyperlink" Target="https://www.canlii.org/en/on/onsc/doc/1978/1978canlii1640/1978canlii1640.html" TargetMode="External"/><Relationship Id="rId44" Type="http://schemas.openxmlformats.org/officeDocument/2006/relationships/hyperlink" Target="https://www.canlii.org/en/on/onca/doc/1981/1981canlii1657/1981canlii1657.html" TargetMode="External"/><Relationship Id="rId45" Type="http://schemas.openxmlformats.org/officeDocument/2006/relationships/hyperlink" Target="https://www.canlii.org/en/on/onsc/doc/1969/1969canlii384/1969canlii384.html" TargetMode="External"/><Relationship Id="rId46" Type="http://schemas.openxmlformats.org/officeDocument/2006/relationships/hyperlink" Target="https://www.canlii.org/en/ca/scc/doc/1980/1980canlii194/1980canlii194.html" TargetMode="External"/><Relationship Id="rId47" Type="http://schemas.openxmlformats.org/officeDocument/2006/relationships/hyperlink" Target="https://www.canlii.org/en/ca/laws/stat/30---31-vict-c-3/latest/30---31-vict-c-3.html" TargetMode="External"/><Relationship Id="rId48" Type="http://schemas.openxmlformats.org/officeDocument/2006/relationships/hyperlink" Target="https://www.canlii.org/en/ca/laws/stat/30---31-vict-c-3/latest/30---31-vict-c-3.html" TargetMode="External"/><Relationship Id="rId49" Type="http://schemas.openxmlformats.org/officeDocument/2006/relationships/hyperlink" Target="https://www.canlii.org/en/ca/laws/stat/30---31-vict-c-3/latest/30---31-vict-c-3.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anlii.org/en/" TargetMode="External"/><Relationship Id="rId7" Type="http://schemas.openxmlformats.org/officeDocument/2006/relationships/hyperlink" Target="https://www.canlii.org/en/ca/scc/doc/1985/1985canlii11/1985canlii11.pdf" TargetMode="External"/><Relationship Id="rId8" Type="http://schemas.openxmlformats.org/officeDocument/2006/relationships/hyperlink" Target="https://www.canlii.org/en/ca/laws/stat/schedule-b-to-the-canada-act-1982-uk-1982-c-11/latest/schedule-b-to-the-canada-act-1982-uk-1982-c-11.html" TargetMode="External"/><Relationship Id="rId9" Type="http://schemas.openxmlformats.org/officeDocument/2006/relationships/hyperlink" Target="https://www.canlii.org/en/ca/laws/stat/schedule-b-to-the-canada-act-1982-uk-1982-c-11/latest/schedule-b-to-the-canada-act-1982-uk-1982-c-11.html" TargetMode="External"/><Relationship Id="rId30" Type="http://schemas.openxmlformats.org/officeDocument/2006/relationships/hyperlink" Target="https://www.canlii.org/en/ns/nsca/doc/1981/1981canlii2722/1981canlii2722.html" TargetMode="External"/><Relationship Id="rId31" Type="http://schemas.openxmlformats.org/officeDocument/2006/relationships/hyperlink" Target="https://www.canlii.org/en/ns/nssc/doc/1928/1928canlii352/1928canlii352.html" TargetMode="External"/><Relationship Id="rId32" Type="http://schemas.openxmlformats.org/officeDocument/2006/relationships/hyperlink" Target="https://www.canlii.org/en/nb/nbca/doc/1969/1969canlii848/1969canlii848.html" TargetMode="External"/><Relationship Id="rId33" Type="http://schemas.openxmlformats.org/officeDocument/2006/relationships/hyperlink" Target="https://www.canlii.org/en/ca/scc/doc/1983/1983canlii18/1983canlii18.html" TargetMode="External"/><Relationship Id="rId34" Type="http://schemas.openxmlformats.org/officeDocument/2006/relationships/hyperlink" Target="https://www.canlii.org/en/bc/bcca/doc/1964/1964canlii452/1964canlii452.html" TargetMode="External"/><Relationship Id="rId35" Type="http://schemas.openxmlformats.org/officeDocument/2006/relationships/hyperlink" Target="https://www.canlii.org/en/ca/scc/doc/1965/1965canlii643/1965canlii643.html" TargetMode="External"/><Relationship Id="rId36" Type="http://schemas.openxmlformats.org/officeDocument/2006/relationships/hyperlink" Target="https://www.canlii.org/en/ca/scc/doc/1956/1956canlii79/1956canlii79.html" TargetMode="External"/><Relationship Id="rId37" Type="http://schemas.openxmlformats.org/officeDocument/2006/relationships/hyperlink" Target="https://www.canlii.org/en/ca/fct/doc/1979/1979canlii2598/1979canlii2598.html" TargetMode="External"/><Relationship Id="rId38" Type="http://schemas.openxmlformats.org/officeDocument/2006/relationships/hyperlink" Target="https://www.canlii.org/en/ca/scc/doc/1973/1973canlii4/1973canlii4.html" TargetMode="External"/><Relationship Id="rId39" Type="http://schemas.openxmlformats.org/officeDocument/2006/relationships/hyperlink" Target="https://www.canlii.org/en/ca/scc/doc/1966/1966canlii2/1966canlii2.html" TargetMode="External"/><Relationship Id="rId20" Type="http://schemas.openxmlformats.org/officeDocument/2006/relationships/hyperlink" Target="https://www.canlii.org/en/qc/laws/stat/rsq-c-t-9/latest/rsq-c-t-9.html" TargetMode="External"/><Relationship Id="rId21" Type="http://schemas.openxmlformats.org/officeDocument/2006/relationships/hyperlink" Target="https://www.canlii.org/en/qc/laws/stat/rsq-c-t-9/latest/rsq-c-t-9.html" TargetMode="External"/><Relationship Id="rId22" Type="http://schemas.openxmlformats.org/officeDocument/2006/relationships/hyperlink" Target="https://www.canlii.org/en/ca/laws/stat/rsc-1985-c-i-5/latest/rsc-1985-c-i-5.html" TargetMode="External"/><Relationship Id="rId23" Type="http://schemas.openxmlformats.org/officeDocument/2006/relationships/hyperlink" Target="https://www.canlii.org/en/ca/laws/stat/rsc-1985-c-i-5/latest/rsc-1985-c-i-5.html" TargetMode="External"/><Relationship Id="rId24" Type="http://schemas.openxmlformats.org/officeDocument/2006/relationships/hyperlink" Target="https://www.canlii.org/en/qc/laws/stat/rsq-c-t-9/latest/rsq-c-t-9.html" TargetMode="External"/><Relationship Id="rId25" Type="http://schemas.openxmlformats.org/officeDocument/2006/relationships/hyperlink" Target="https://www.canlii.org/en/qc/laws/stat/rsq-c-t-9/latest/rsq-c-t-9.html" TargetMode="External"/><Relationship Id="rId26" Type="http://schemas.openxmlformats.org/officeDocument/2006/relationships/hyperlink" Target="https://www.canlii.org/en/ca/laws/stat/schedule-b-to-the-canada-act-1982-uk-1982-c-11/latest/schedule-b-to-the-canada-act-1982-uk-1982-c-11.html" TargetMode="External"/><Relationship Id="rId27" Type="http://schemas.openxmlformats.org/officeDocument/2006/relationships/hyperlink" Target="https://www.canlii.org/en/ca/laws/stat/schedule-b-to-the-canada-act-1982-uk-1982-c-11/latest/schedule-b-to-the-canada-act-1982-uk-1982-c-11.html" TargetMode="External"/><Relationship Id="rId28" Type="http://schemas.openxmlformats.org/officeDocument/2006/relationships/hyperlink" Target="https://www.canlii.org/en/ca/laws/stat/rsc-1985-c-i-5/latest/rsc-1985-c-i-5.html" TargetMode="External"/><Relationship Id="rId29" Type="http://schemas.openxmlformats.org/officeDocument/2006/relationships/hyperlink" Target="https://www.canlii.org/en/ca/laws/stat/rsc-1985-c-i-5/latest/rsc-1985-c-i-5.html" TargetMode="External"/><Relationship Id="rId10" Type="http://schemas.openxmlformats.org/officeDocument/2006/relationships/hyperlink" Target="https://www.canlii.org/en/ca/laws/stat/rsc-1985-c-i-5/latest/rsc-1985-c-i-5.html" TargetMode="External"/><Relationship Id="rId11" Type="http://schemas.openxmlformats.org/officeDocument/2006/relationships/hyperlink" Target="https://www.canlii.org/en/ca/laws/stat/rsc-1985-c-i-5/latest/rsc-1985-c-i-5.html" TargetMode="External"/><Relationship Id="rId12" Type="http://schemas.openxmlformats.org/officeDocument/2006/relationships/hyperlink" Target="https://www.canlii.org/en/ca/laws/stat/rsc-1985-c-i-5/latest/rsc-1985-c-i-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1863</Words>
  <Characters>10622</Characters>
  <Application>Microsoft Macintosh Word</Application>
  <DocSecurity>0</DocSecurity>
  <Lines>88</Lines>
  <Paragraphs>24</Paragraphs>
  <ScaleCrop>false</ScaleCrop>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Brown</dc:creator>
  <cp:keywords/>
  <dc:description/>
  <cp:lastModifiedBy>Maria Brown</cp:lastModifiedBy>
  <cp:revision>2</cp:revision>
  <dcterms:created xsi:type="dcterms:W3CDTF">2018-01-12T13:13:00Z</dcterms:created>
  <dcterms:modified xsi:type="dcterms:W3CDTF">2018-01-12T13:13:00Z</dcterms:modified>
</cp:coreProperties>
</file>